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F8163">
      <w:pPr>
        <w:pStyle w:val="2"/>
        <w:jc w:val="center"/>
        <w:rPr>
          <w:rFonts w:hint="eastAsia" w:asciiTheme="majorEastAsia" w:hAnsiTheme="majorEastAsia" w:eastAsiaTheme="majorEastAsia" w:cstheme="majorEastAsia"/>
          <w:color w:val="auto"/>
          <w:sz w:val="32"/>
          <w:szCs w:val="32"/>
          <w:highlight w:val="none"/>
        </w:rPr>
      </w:pPr>
      <w:bookmarkStart w:id="0" w:name="_GoBack"/>
      <w:bookmarkEnd w:id="0"/>
      <w:r>
        <w:rPr>
          <w:rFonts w:hint="eastAsia" w:asciiTheme="majorEastAsia" w:hAnsiTheme="majorEastAsia" w:eastAsiaTheme="majorEastAsia" w:cstheme="majorEastAsia"/>
          <w:color w:val="auto"/>
          <w:sz w:val="32"/>
          <w:szCs w:val="32"/>
          <w:highlight w:val="none"/>
          <w:lang w:val="en-US" w:eastAsia="zh-CN"/>
        </w:rPr>
        <w:t>深圳市中医肛肠医院（福田）纸质病历扫描及托管服务采购项目</w:t>
      </w:r>
    </w:p>
    <w:p w14:paraId="777CD3CF">
      <w:pPr>
        <w:pStyle w:val="18"/>
        <w:spacing w:before="144" w:line="190" w:lineRule="auto"/>
        <w:ind w:left="628" w:leftChars="299" w:firstLine="161" w:firstLineChars="50"/>
        <w:rPr>
          <w:rFonts w:hint="eastAsia" w:ascii="仿宋_GB2312" w:hAnsi="仿宋_GB2312" w:eastAsia="仿宋_GB2312" w:cs="仿宋_GB2312"/>
          <w:b/>
          <w:bCs/>
        </w:rPr>
      </w:pPr>
      <w:r>
        <w:rPr>
          <w:rFonts w:hint="eastAsia" w:ascii="仿宋_GB2312" w:hAnsi="仿宋_GB2312" w:eastAsia="仿宋_GB2312" w:cs="仿宋_GB2312"/>
          <w:b/>
          <w:bCs/>
          <w:spacing w:val="5"/>
        </w:rPr>
        <w:t>一、项目内容</w:t>
      </w:r>
    </w:p>
    <w:p w14:paraId="61B1EDE1">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本项目为深圳市中医肛肠医院（福田）纸质病历扫描及托管服务采购项目，纸质病历存放空间不足，需将纸质病历数字化后异地托管，腾出足够的空间；纸质病历数字化后，能提高病历复印的效率，减少患者等待的时间，提高患者的满意度，</w:t>
      </w:r>
    </w:p>
    <w:p w14:paraId="1225E351">
      <w:pPr>
        <w:pStyle w:val="18"/>
        <w:spacing w:before="2" w:line="187" w:lineRule="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针对每年的社保局大批量的病历调阅核查工作，能够快速响应。本项目数量为估算数量，最终按实际工作量结算，总费用每年在16万元以内。</w:t>
      </w:r>
    </w:p>
    <w:p w14:paraId="1CD92B39">
      <w:pPr>
        <w:pStyle w:val="18"/>
        <w:spacing w:before="142" w:line="192" w:lineRule="auto"/>
        <w:ind w:left="632" w:leftChars="301" w:firstLine="169" w:firstLineChars="52"/>
        <w:rPr>
          <w:rFonts w:hint="eastAsia" w:ascii="仿宋_GB2312" w:hAnsi="仿宋_GB2312" w:eastAsia="仿宋_GB2312" w:cs="仿宋_GB2312"/>
          <w:b/>
          <w:bCs/>
        </w:rPr>
      </w:pPr>
      <w:r>
        <w:rPr>
          <w:rFonts w:hint="eastAsia" w:ascii="仿宋_GB2312" w:hAnsi="仿宋_GB2312" w:eastAsia="仿宋_GB2312" w:cs="仿宋_GB2312"/>
          <w:b/>
          <w:bCs/>
          <w:spacing w:val="7"/>
        </w:rPr>
        <w:t>二、基本条件</w:t>
      </w:r>
    </w:p>
    <w:p w14:paraId="6F8FD6FC">
      <w:pPr>
        <w:pStyle w:val="18"/>
        <w:spacing w:before="136" w:line="183" w:lineRule="auto"/>
        <w:ind w:firstLine="652" w:firstLineChars="200"/>
        <w:rPr>
          <w:rFonts w:hint="eastAsia" w:ascii="仿宋_GB2312" w:hAnsi="仿宋_GB2312" w:eastAsia="仿宋_GB2312" w:cs="仿宋_GB2312"/>
          <w:spacing w:val="8"/>
        </w:rPr>
      </w:pPr>
      <w:r>
        <w:rPr>
          <w:rFonts w:hint="eastAsia" w:ascii="仿宋_GB2312" w:hAnsi="仿宋_GB2312" w:eastAsia="仿宋_GB2312" w:cs="仿宋_GB2312"/>
          <w:spacing w:val="8"/>
        </w:rPr>
        <w:t>（一）项目服务要求</w:t>
      </w:r>
    </w:p>
    <w:tbl>
      <w:tblPr>
        <w:tblStyle w:val="11"/>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9029"/>
      </w:tblGrid>
      <w:tr w14:paraId="67684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546" w:type="dxa"/>
            <w:vMerge w:val="restart"/>
            <w:vAlign w:val="center"/>
          </w:tcPr>
          <w:p w14:paraId="3AA8025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9029" w:type="dxa"/>
          </w:tcPr>
          <w:p w14:paraId="34BE8231">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1.病案数字化</w:t>
            </w:r>
          </w:p>
        </w:tc>
      </w:tr>
      <w:tr w14:paraId="778D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46" w:type="dxa"/>
            <w:vMerge w:val="continue"/>
            <w:vAlign w:val="center"/>
          </w:tcPr>
          <w:p w14:paraId="0BDC67FE"/>
        </w:tc>
        <w:tc>
          <w:tcPr>
            <w:tcW w:w="9029" w:type="dxa"/>
          </w:tcPr>
          <w:p w14:paraId="34A8660D">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1.1能通过病案数字化加工客户端软件快速进行纸质病案的数字化，支持对数字化后的病案进行自动排序；支持对病案添加自定义标签，记录纸质病案所在的纸箱号，支持病案文件批量上传。</w:t>
            </w:r>
          </w:p>
        </w:tc>
      </w:tr>
      <w:tr w14:paraId="56F7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546" w:type="dxa"/>
            <w:vMerge w:val="continue"/>
            <w:vAlign w:val="center"/>
          </w:tcPr>
          <w:p w14:paraId="600C66E7">
            <w:pPr>
              <w:jc w:val="center"/>
              <w:rPr>
                <w:color w:val="000000" w:themeColor="text1"/>
                <w:szCs w:val="21"/>
                <w14:textFill>
                  <w14:solidFill>
                    <w14:schemeClr w14:val="tx1"/>
                  </w14:solidFill>
                </w14:textFill>
              </w:rPr>
            </w:pPr>
          </w:p>
        </w:tc>
        <w:tc>
          <w:tcPr>
            <w:tcW w:w="9029" w:type="dxa"/>
          </w:tcPr>
          <w:p w14:paraId="1C0ED1AF">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1.2.病案数字化客户端需和广东省病案管理系统集成，生成数字化病案时，通过广东省病案管理系统自动获取患者的基本相关信息，无需人工再次输入病案的相关信息，如病案、出院时间、患者姓名等相关信息。（提供相关功能截图）</w:t>
            </w:r>
          </w:p>
        </w:tc>
      </w:tr>
      <w:tr w14:paraId="70B0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vAlign w:val="center"/>
          </w:tcPr>
          <w:p w14:paraId="4D3B9EED">
            <w:pPr>
              <w:jc w:val="center"/>
              <w:rPr>
                <w:color w:val="000000" w:themeColor="text1"/>
                <w:szCs w:val="21"/>
                <w14:textFill>
                  <w14:solidFill>
                    <w14:schemeClr w14:val="tx1"/>
                  </w14:solidFill>
                </w14:textFill>
              </w:rPr>
            </w:pPr>
          </w:p>
        </w:tc>
        <w:tc>
          <w:tcPr>
            <w:tcW w:w="9029" w:type="dxa"/>
          </w:tcPr>
          <w:p w14:paraId="3827CD3A">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▲1.3.客户端支持病案补录功能，发现病案数字化后有缺页等情况，支持病案补录，生成新的病案版本进行保存。可提供痕迹查询功能，包括查询老版本病案。（提供相关功能截图）</w:t>
            </w:r>
          </w:p>
        </w:tc>
      </w:tr>
      <w:tr w14:paraId="1D46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vAlign w:val="center"/>
          </w:tcPr>
          <w:p w14:paraId="776EA817">
            <w:pPr>
              <w:jc w:val="center"/>
              <w:rPr>
                <w:color w:val="000000" w:themeColor="text1"/>
                <w:szCs w:val="21"/>
                <w14:textFill>
                  <w14:solidFill>
                    <w14:schemeClr w14:val="tx1"/>
                  </w14:solidFill>
                </w14:textFill>
              </w:rPr>
            </w:pPr>
          </w:p>
        </w:tc>
        <w:tc>
          <w:tcPr>
            <w:tcW w:w="9029" w:type="dxa"/>
          </w:tcPr>
          <w:p w14:paraId="413D72F6">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▲1.4.数字化图像文件上传方式采用FTP方式进行，拒绝通过不安全的文件共享式进行上传。（提供数字化图像文件上传时FTP专业软件FileZilla Server实时显示的上传数据功能截图）</w:t>
            </w:r>
          </w:p>
        </w:tc>
      </w:tr>
      <w:tr w14:paraId="0516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vAlign w:val="center"/>
          </w:tcPr>
          <w:p w14:paraId="61FAE12E">
            <w:pPr>
              <w:jc w:val="center"/>
              <w:rPr>
                <w:color w:val="000000" w:themeColor="text1"/>
                <w:szCs w:val="21"/>
                <w14:textFill>
                  <w14:solidFill>
                    <w14:schemeClr w14:val="tx1"/>
                  </w14:solidFill>
                </w14:textFill>
              </w:rPr>
            </w:pPr>
          </w:p>
        </w:tc>
        <w:tc>
          <w:tcPr>
            <w:tcW w:w="9029" w:type="dxa"/>
          </w:tcPr>
          <w:p w14:paraId="17474A7C">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1.5.具有多重加密功能：用户登录密码加密、数据库连接加密、文件上传链接加密、敏感内容拒绝明文传送、杜绝数据开放，保证数据安全。</w:t>
            </w:r>
          </w:p>
        </w:tc>
      </w:tr>
      <w:tr w14:paraId="5BF2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46" w:type="dxa"/>
            <w:vMerge w:val="restart"/>
            <w:vAlign w:val="center"/>
          </w:tcPr>
          <w:p w14:paraId="2F7E4AB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9029" w:type="dxa"/>
          </w:tcPr>
          <w:p w14:paraId="1C4EEA94">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2.病案托管</w:t>
            </w:r>
          </w:p>
        </w:tc>
      </w:tr>
      <w:tr w14:paraId="06697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46" w:type="dxa"/>
            <w:vMerge w:val="continue"/>
            <w:vAlign w:val="center"/>
          </w:tcPr>
          <w:p w14:paraId="585549B2"/>
        </w:tc>
        <w:tc>
          <w:tcPr>
            <w:tcW w:w="9029" w:type="dxa"/>
          </w:tcPr>
          <w:p w14:paraId="58FECDF2">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2.1.将完成数字化后的原有纸质病案按统一数量标准统一封装到定置规格纸箱内，做好纸箱的防水、防潮工作。</w:t>
            </w:r>
          </w:p>
        </w:tc>
      </w:tr>
      <w:tr w14:paraId="0B456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1DDFA2EA">
            <w:pPr>
              <w:jc w:val="center"/>
              <w:rPr>
                <w:color w:val="000000" w:themeColor="text1"/>
                <w:szCs w:val="21"/>
                <w14:textFill>
                  <w14:solidFill>
                    <w14:schemeClr w14:val="tx1"/>
                  </w14:solidFill>
                </w14:textFill>
              </w:rPr>
            </w:pPr>
          </w:p>
        </w:tc>
        <w:tc>
          <w:tcPr>
            <w:tcW w:w="9029" w:type="dxa"/>
          </w:tcPr>
          <w:p w14:paraId="69A8D626">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▲2.2.纸质病案打包与病案数字化服务管理系统对接，可通过病案包装箱标识标签实现病案的查询管理功能。（提供相关功能截图）</w:t>
            </w:r>
          </w:p>
        </w:tc>
      </w:tr>
      <w:tr w14:paraId="795A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restart"/>
          </w:tcPr>
          <w:p w14:paraId="5D168595">
            <w:pPr>
              <w:jc w:val="center"/>
              <w:rPr>
                <w:color w:val="000000" w:themeColor="text1"/>
                <w:szCs w:val="21"/>
                <w14:textFill>
                  <w14:solidFill>
                    <w14:schemeClr w14:val="tx1"/>
                  </w14:solidFill>
                </w14:textFill>
              </w:rPr>
            </w:pPr>
          </w:p>
        </w:tc>
        <w:tc>
          <w:tcPr>
            <w:tcW w:w="9029" w:type="dxa"/>
          </w:tcPr>
          <w:p w14:paraId="72F82154">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▲2.3.纸质病案打包完成装箱的原则是依据住院病历上架号（出院时间）顺序依次装箱，纸箱外粘贴病案住院号清单明细。（提供相关功能截图）</w:t>
            </w:r>
          </w:p>
        </w:tc>
      </w:tr>
      <w:tr w14:paraId="3EEA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46" w:type="dxa"/>
            <w:vMerge w:val="continue"/>
          </w:tcPr>
          <w:p w14:paraId="573B40CF">
            <w:pPr>
              <w:jc w:val="center"/>
              <w:rPr>
                <w:color w:val="000000" w:themeColor="text1"/>
                <w:szCs w:val="21"/>
                <w14:textFill>
                  <w14:solidFill>
                    <w14:schemeClr w14:val="tx1"/>
                  </w14:solidFill>
                </w14:textFill>
              </w:rPr>
            </w:pPr>
          </w:p>
        </w:tc>
        <w:tc>
          <w:tcPr>
            <w:tcW w:w="9029" w:type="dxa"/>
          </w:tcPr>
          <w:p w14:paraId="1A79A678">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2.4托管病案交接</w:t>
            </w:r>
          </w:p>
        </w:tc>
      </w:tr>
      <w:tr w14:paraId="5B9F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46" w:type="dxa"/>
            <w:vMerge w:val="continue"/>
          </w:tcPr>
          <w:p w14:paraId="0E731B18"/>
        </w:tc>
        <w:tc>
          <w:tcPr>
            <w:tcW w:w="9029" w:type="dxa"/>
          </w:tcPr>
          <w:p w14:paraId="078F7B04">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2.4.1 双方代表清点病案箱号、病案箱所属号段、病案箱数,并在记录单上签字盖章。</w:t>
            </w:r>
          </w:p>
        </w:tc>
      </w:tr>
      <w:tr w14:paraId="0FFFF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10518FED">
            <w:pPr>
              <w:jc w:val="center"/>
              <w:rPr>
                <w:color w:val="000000" w:themeColor="text1"/>
                <w:szCs w:val="21"/>
                <w14:textFill>
                  <w14:solidFill>
                    <w14:schemeClr w14:val="tx1"/>
                  </w14:solidFill>
                </w14:textFill>
              </w:rPr>
            </w:pPr>
          </w:p>
        </w:tc>
        <w:tc>
          <w:tcPr>
            <w:tcW w:w="9029" w:type="dxa"/>
          </w:tcPr>
          <w:p w14:paraId="306A13F0">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2.4.2 供应商在交接后50天内给采购人提供纸质病案清单，清单内容包括：住院号、姓名、出院日期、住院次数。</w:t>
            </w:r>
          </w:p>
        </w:tc>
      </w:tr>
      <w:tr w14:paraId="7721C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06839463">
            <w:pPr>
              <w:jc w:val="center"/>
              <w:rPr>
                <w:color w:val="000000" w:themeColor="text1"/>
                <w:szCs w:val="21"/>
                <w14:textFill>
                  <w14:solidFill>
                    <w14:schemeClr w14:val="tx1"/>
                  </w14:solidFill>
                </w14:textFill>
              </w:rPr>
            </w:pPr>
          </w:p>
        </w:tc>
        <w:tc>
          <w:tcPr>
            <w:tcW w:w="9029" w:type="dxa"/>
          </w:tcPr>
          <w:p w14:paraId="4FF54164">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2.4.3记录单一式两份，双方各执一份。 </w:t>
            </w:r>
          </w:p>
        </w:tc>
      </w:tr>
      <w:tr w14:paraId="513D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546" w:type="dxa"/>
            <w:vMerge w:val="continue"/>
          </w:tcPr>
          <w:p w14:paraId="1B6848CF">
            <w:pPr>
              <w:jc w:val="center"/>
              <w:rPr>
                <w:color w:val="000000" w:themeColor="text1"/>
                <w:szCs w:val="21"/>
                <w14:textFill>
                  <w14:solidFill>
                    <w14:schemeClr w14:val="tx1"/>
                  </w14:solidFill>
                </w14:textFill>
              </w:rPr>
            </w:pPr>
          </w:p>
        </w:tc>
        <w:tc>
          <w:tcPr>
            <w:tcW w:w="9029" w:type="dxa"/>
          </w:tcPr>
          <w:p w14:paraId="54068236">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 供应商病案仓库要求</w:t>
            </w:r>
          </w:p>
        </w:tc>
      </w:tr>
      <w:tr w14:paraId="3E2F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546" w:type="dxa"/>
            <w:vMerge w:val="continue"/>
          </w:tcPr>
          <w:p w14:paraId="2414F1CA"/>
        </w:tc>
        <w:tc>
          <w:tcPr>
            <w:tcW w:w="9029" w:type="dxa"/>
          </w:tcPr>
          <w:p w14:paraId="7F9B5831">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2.5.1 供应商病案仓库有专人看管。</w:t>
            </w:r>
          </w:p>
        </w:tc>
      </w:tr>
      <w:tr w14:paraId="683C0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41434291">
            <w:pPr>
              <w:jc w:val="center"/>
              <w:rPr>
                <w:color w:val="000000" w:themeColor="text1"/>
                <w:szCs w:val="21"/>
                <w14:textFill>
                  <w14:solidFill>
                    <w14:schemeClr w14:val="tx1"/>
                  </w14:solidFill>
                </w14:textFill>
              </w:rPr>
            </w:pPr>
          </w:p>
        </w:tc>
        <w:tc>
          <w:tcPr>
            <w:tcW w:w="9029" w:type="dxa"/>
          </w:tcPr>
          <w:p w14:paraId="7BD82D05">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2.5.2病案仓库环境要求防水、防潮、防光： </w:t>
            </w:r>
          </w:p>
        </w:tc>
      </w:tr>
      <w:tr w14:paraId="4C67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355E6ED5">
            <w:pPr>
              <w:jc w:val="center"/>
              <w:rPr>
                <w:color w:val="000000" w:themeColor="text1"/>
                <w:szCs w:val="21"/>
                <w14:textFill>
                  <w14:solidFill>
                    <w14:schemeClr w14:val="tx1"/>
                  </w14:solidFill>
                </w14:textFill>
              </w:rPr>
            </w:pPr>
          </w:p>
        </w:tc>
        <w:tc>
          <w:tcPr>
            <w:tcW w:w="9029" w:type="dxa"/>
          </w:tcPr>
          <w:p w14:paraId="1B7EFB5C">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2.5.2.1病案仓库在二楼及以上。</w:t>
            </w:r>
          </w:p>
        </w:tc>
      </w:tr>
      <w:tr w14:paraId="7F7D1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7EEED026">
            <w:pPr>
              <w:jc w:val="center"/>
              <w:rPr>
                <w:color w:val="000000" w:themeColor="text1"/>
                <w:szCs w:val="21"/>
                <w14:textFill>
                  <w14:solidFill>
                    <w14:schemeClr w14:val="tx1"/>
                  </w14:solidFill>
                </w14:textFill>
              </w:rPr>
            </w:pPr>
          </w:p>
        </w:tc>
        <w:tc>
          <w:tcPr>
            <w:tcW w:w="9029" w:type="dxa"/>
          </w:tcPr>
          <w:p w14:paraId="4868932B">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2.5.2.2病案在专用架子上摆放，接触面离楼面的高度≥3CM。</w:t>
            </w:r>
          </w:p>
        </w:tc>
      </w:tr>
      <w:tr w14:paraId="0E7FB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72770538">
            <w:pPr>
              <w:jc w:val="center"/>
              <w:rPr>
                <w:color w:val="000000" w:themeColor="text1"/>
                <w:szCs w:val="21"/>
                <w14:textFill>
                  <w14:solidFill>
                    <w14:schemeClr w14:val="tx1"/>
                  </w14:solidFill>
                </w14:textFill>
              </w:rPr>
            </w:pPr>
          </w:p>
        </w:tc>
        <w:tc>
          <w:tcPr>
            <w:tcW w:w="9029" w:type="dxa"/>
          </w:tcPr>
          <w:p w14:paraId="57253ADF">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2.5.2.3病案仓库屋顶不漏水,门窗不进水。</w:t>
            </w:r>
          </w:p>
        </w:tc>
      </w:tr>
      <w:tr w14:paraId="7637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2AABB457">
            <w:pPr>
              <w:jc w:val="center"/>
              <w:rPr>
                <w:color w:val="000000" w:themeColor="text1"/>
                <w:szCs w:val="21"/>
                <w14:textFill>
                  <w14:solidFill>
                    <w14:schemeClr w14:val="tx1"/>
                  </w14:solidFill>
                </w14:textFill>
              </w:rPr>
            </w:pPr>
          </w:p>
        </w:tc>
        <w:tc>
          <w:tcPr>
            <w:tcW w:w="9029" w:type="dxa"/>
          </w:tcPr>
          <w:p w14:paraId="6D343647">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2.5.2.4在潮湿天气开抽湿机抽湿，每天有温湿度登记，抽湿机需用工业级抽湿机，禁止使用小型的家庭抽湿机。</w:t>
            </w:r>
          </w:p>
        </w:tc>
      </w:tr>
      <w:tr w14:paraId="2349A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407A5328">
            <w:pPr>
              <w:jc w:val="center"/>
              <w:rPr>
                <w:color w:val="000000" w:themeColor="text1"/>
                <w:szCs w:val="21"/>
                <w14:textFill>
                  <w14:solidFill>
                    <w14:schemeClr w14:val="tx1"/>
                  </w14:solidFill>
                </w14:textFill>
              </w:rPr>
            </w:pPr>
          </w:p>
        </w:tc>
        <w:tc>
          <w:tcPr>
            <w:tcW w:w="9029" w:type="dxa"/>
          </w:tcPr>
          <w:p w14:paraId="0151F97F">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2.5.2.5病案纸箱距离墙壁距离≥5CM。</w:t>
            </w:r>
          </w:p>
        </w:tc>
      </w:tr>
      <w:tr w14:paraId="3691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5F12B304">
            <w:pPr>
              <w:jc w:val="center"/>
              <w:rPr>
                <w:color w:val="000000" w:themeColor="text1"/>
                <w:szCs w:val="21"/>
                <w14:textFill>
                  <w14:solidFill>
                    <w14:schemeClr w14:val="tx1"/>
                  </w14:solidFill>
                </w14:textFill>
              </w:rPr>
            </w:pPr>
          </w:p>
        </w:tc>
        <w:tc>
          <w:tcPr>
            <w:tcW w:w="9029" w:type="dxa"/>
          </w:tcPr>
          <w:p w14:paraId="20A40696">
            <w:pPr>
              <w:pStyle w:val="18"/>
              <w:spacing w:before="2" w:line="187" w:lineRule="auto"/>
              <w:ind w:firstLine="620" w:firstLineChars="20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2.5.3防蛀：病案仓库库房内安放防蛀片，每月喷一次杀虫剂。</w:t>
            </w:r>
          </w:p>
        </w:tc>
      </w:tr>
      <w:tr w14:paraId="7F65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546" w:type="dxa"/>
            <w:vMerge w:val="continue"/>
          </w:tcPr>
          <w:p w14:paraId="26C1CE09">
            <w:pPr>
              <w:jc w:val="center"/>
              <w:rPr>
                <w:color w:val="000000" w:themeColor="text1"/>
                <w:szCs w:val="21"/>
                <w14:textFill>
                  <w14:solidFill>
                    <w14:schemeClr w14:val="tx1"/>
                  </w14:solidFill>
                </w14:textFill>
              </w:rPr>
            </w:pPr>
          </w:p>
        </w:tc>
        <w:tc>
          <w:tcPr>
            <w:tcW w:w="9029" w:type="dxa"/>
          </w:tcPr>
          <w:p w14:paraId="3F7D16F0">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2.5.4 防火:</w:t>
            </w:r>
          </w:p>
        </w:tc>
      </w:tr>
      <w:tr w14:paraId="23C44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546" w:type="dxa"/>
            <w:vMerge w:val="continue"/>
          </w:tcPr>
          <w:p w14:paraId="201577F6"/>
        </w:tc>
        <w:tc>
          <w:tcPr>
            <w:tcW w:w="9029" w:type="dxa"/>
          </w:tcPr>
          <w:p w14:paraId="5CCBA1C1">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2.5.4.1病案仓库通过消防部门的验收（提供验收报告照片）; </w:t>
            </w:r>
          </w:p>
        </w:tc>
      </w:tr>
      <w:tr w14:paraId="6933A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1335B009">
            <w:pPr>
              <w:jc w:val="center"/>
              <w:rPr>
                <w:color w:val="000000" w:themeColor="text1"/>
                <w:szCs w:val="21"/>
                <w14:textFill>
                  <w14:solidFill>
                    <w14:schemeClr w14:val="tx1"/>
                  </w14:solidFill>
                </w14:textFill>
              </w:rPr>
            </w:pPr>
          </w:p>
        </w:tc>
        <w:tc>
          <w:tcPr>
            <w:tcW w:w="9029" w:type="dxa"/>
          </w:tcPr>
          <w:p w14:paraId="5D5022CD">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2.5.4.2在病案库房内严禁存放易燃、易爆物品；</w:t>
            </w:r>
          </w:p>
        </w:tc>
      </w:tr>
      <w:tr w14:paraId="03970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497EFC37">
            <w:pPr>
              <w:jc w:val="center"/>
              <w:rPr>
                <w:color w:val="000000" w:themeColor="text1"/>
                <w:szCs w:val="21"/>
                <w14:textFill>
                  <w14:solidFill>
                    <w14:schemeClr w14:val="tx1"/>
                  </w14:solidFill>
                </w14:textFill>
              </w:rPr>
            </w:pPr>
          </w:p>
        </w:tc>
        <w:tc>
          <w:tcPr>
            <w:tcW w:w="9029" w:type="dxa"/>
          </w:tcPr>
          <w:p w14:paraId="25901494">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2.5.4.3严禁吸烟和使用明火；</w:t>
            </w:r>
          </w:p>
        </w:tc>
      </w:tr>
      <w:tr w14:paraId="739AD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5CCF0B16">
            <w:pPr>
              <w:jc w:val="center"/>
              <w:rPr>
                <w:color w:val="000000" w:themeColor="text1"/>
                <w:szCs w:val="21"/>
                <w14:textFill>
                  <w14:solidFill>
                    <w14:schemeClr w14:val="tx1"/>
                  </w14:solidFill>
                </w14:textFill>
              </w:rPr>
            </w:pPr>
          </w:p>
        </w:tc>
        <w:tc>
          <w:tcPr>
            <w:tcW w:w="9029" w:type="dxa"/>
          </w:tcPr>
          <w:p w14:paraId="1097BBB6">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▲2.5.4.4病案仓库需要悬挂式灭火器; （提供灭火器的有效期和相关证明材料以及图片）</w:t>
            </w:r>
          </w:p>
        </w:tc>
      </w:tr>
      <w:tr w14:paraId="4E44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361E7AC2">
            <w:pPr>
              <w:jc w:val="center"/>
              <w:rPr>
                <w:color w:val="000000" w:themeColor="text1"/>
                <w:szCs w:val="21"/>
                <w14:textFill>
                  <w14:solidFill>
                    <w14:schemeClr w14:val="tx1"/>
                  </w14:solidFill>
                </w14:textFill>
              </w:rPr>
            </w:pPr>
          </w:p>
        </w:tc>
        <w:tc>
          <w:tcPr>
            <w:tcW w:w="9029" w:type="dxa"/>
          </w:tcPr>
          <w:p w14:paraId="77A40D70">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▲2.5.4.5病案仓库禁止安装普通照明灯，使用防爆灯; （提供照片）</w:t>
            </w:r>
          </w:p>
        </w:tc>
      </w:tr>
      <w:tr w14:paraId="7136D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1A231BEC">
            <w:pPr>
              <w:jc w:val="center"/>
              <w:rPr>
                <w:color w:val="000000" w:themeColor="text1"/>
                <w:szCs w:val="21"/>
                <w14:textFill>
                  <w14:solidFill>
                    <w14:schemeClr w14:val="tx1"/>
                  </w14:solidFill>
                </w14:textFill>
              </w:rPr>
            </w:pPr>
          </w:p>
        </w:tc>
        <w:tc>
          <w:tcPr>
            <w:tcW w:w="9029" w:type="dxa"/>
          </w:tcPr>
          <w:p w14:paraId="390322CA">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2.5.4.6电源、线路经常检查维修，工作人员离开库房时切断电源；</w:t>
            </w:r>
          </w:p>
        </w:tc>
      </w:tr>
      <w:tr w14:paraId="3899B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0F82DBB3">
            <w:pPr>
              <w:jc w:val="center"/>
              <w:rPr>
                <w:color w:val="000000" w:themeColor="text1"/>
                <w:szCs w:val="21"/>
                <w14:textFill>
                  <w14:solidFill>
                    <w14:schemeClr w14:val="tx1"/>
                  </w14:solidFill>
                </w14:textFill>
              </w:rPr>
            </w:pPr>
          </w:p>
        </w:tc>
        <w:tc>
          <w:tcPr>
            <w:tcW w:w="9029" w:type="dxa"/>
          </w:tcPr>
          <w:p w14:paraId="6F33B036">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2.5.4.7消防设备放在库房的固定位置，任何人员不得随意挪动;</w:t>
            </w:r>
          </w:p>
        </w:tc>
      </w:tr>
      <w:tr w14:paraId="3720D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0A8C2206">
            <w:pPr>
              <w:jc w:val="center"/>
              <w:rPr>
                <w:color w:val="000000" w:themeColor="text1"/>
                <w:szCs w:val="21"/>
                <w14:textFill>
                  <w14:solidFill>
                    <w14:schemeClr w14:val="tx1"/>
                  </w14:solidFill>
                </w14:textFill>
              </w:rPr>
            </w:pPr>
          </w:p>
        </w:tc>
        <w:tc>
          <w:tcPr>
            <w:tcW w:w="9029" w:type="dxa"/>
          </w:tcPr>
          <w:p w14:paraId="7A74F215">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2.5.4.8防火急救通道不得随意堆放物品，要保持通畅;</w:t>
            </w:r>
          </w:p>
        </w:tc>
      </w:tr>
      <w:tr w14:paraId="7560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25A8BC81">
            <w:pPr>
              <w:jc w:val="center"/>
              <w:rPr>
                <w:color w:val="000000" w:themeColor="text1"/>
                <w:szCs w:val="21"/>
                <w14:textFill>
                  <w14:solidFill>
                    <w14:schemeClr w14:val="tx1"/>
                  </w14:solidFill>
                </w14:textFill>
              </w:rPr>
            </w:pPr>
          </w:p>
        </w:tc>
        <w:tc>
          <w:tcPr>
            <w:tcW w:w="9029" w:type="dxa"/>
          </w:tcPr>
          <w:p w14:paraId="6AD30543">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2.5.4.9工作人员定期接受应急的灭火方法培训，会使用灭火器。</w:t>
            </w:r>
          </w:p>
        </w:tc>
      </w:tr>
      <w:tr w14:paraId="7200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43060261">
            <w:pPr>
              <w:jc w:val="center"/>
              <w:rPr>
                <w:color w:val="000000" w:themeColor="text1"/>
                <w:szCs w:val="21"/>
                <w14:textFill>
                  <w14:solidFill>
                    <w14:schemeClr w14:val="tx1"/>
                  </w14:solidFill>
                </w14:textFill>
              </w:rPr>
            </w:pPr>
          </w:p>
        </w:tc>
        <w:tc>
          <w:tcPr>
            <w:tcW w:w="9029" w:type="dxa"/>
          </w:tcPr>
          <w:p w14:paraId="3317469A">
            <w:pPr>
              <w:pStyle w:val="18"/>
              <w:spacing w:before="2" w:line="187" w:lineRule="auto"/>
              <w:ind w:firstLine="620" w:firstLineChars="20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2.5.5防光：要求使用工业级遮光窗帘，遮光窗帘遮光率要求达到95%以上。</w:t>
            </w:r>
          </w:p>
        </w:tc>
      </w:tr>
      <w:tr w14:paraId="1C209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6391F24D">
            <w:pPr>
              <w:jc w:val="center"/>
              <w:rPr>
                <w:color w:val="000000" w:themeColor="text1"/>
                <w:szCs w:val="21"/>
                <w14:textFill>
                  <w14:solidFill>
                    <w14:schemeClr w14:val="tx1"/>
                  </w14:solidFill>
                </w14:textFill>
              </w:rPr>
            </w:pPr>
          </w:p>
        </w:tc>
        <w:tc>
          <w:tcPr>
            <w:tcW w:w="9029" w:type="dxa"/>
          </w:tcPr>
          <w:p w14:paraId="630239AC">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2.5.6清洁：每周打扫一次库房，保持库房清洁。</w:t>
            </w:r>
          </w:p>
        </w:tc>
      </w:tr>
      <w:tr w14:paraId="328D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386DA362">
            <w:pPr>
              <w:jc w:val="center"/>
              <w:rPr>
                <w:color w:val="000000" w:themeColor="text1"/>
                <w:szCs w:val="21"/>
                <w14:textFill>
                  <w14:solidFill>
                    <w14:schemeClr w14:val="tx1"/>
                  </w14:solidFill>
                </w14:textFill>
              </w:rPr>
            </w:pPr>
          </w:p>
        </w:tc>
        <w:tc>
          <w:tcPr>
            <w:tcW w:w="9029" w:type="dxa"/>
          </w:tcPr>
          <w:p w14:paraId="0EAA5C35">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2.5.7监控：病案存放的楼层要求有24小时监控摄像头，管理及医院相关人员可随时用手机APP实时查看监控影像。</w:t>
            </w:r>
          </w:p>
        </w:tc>
      </w:tr>
      <w:tr w14:paraId="117A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4200BBBB">
            <w:pPr>
              <w:jc w:val="center"/>
              <w:rPr>
                <w:color w:val="000000" w:themeColor="text1"/>
                <w:szCs w:val="21"/>
                <w14:textFill>
                  <w14:solidFill>
                    <w14:schemeClr w14:val="tx1"/>
                  </w14:solidFill>
                </w14:textFill>
              </w:rPr>
            </w:pPr>
          </w:p>
        </w:tc>
        <w:tc>
          <w:tcPr>
            <w:tcW w:w="9029" w:type="dxa"/>
          </w:tcPr>
          <w:p w14:paraId="047A8672">
            <w:pPr>
              <w:pStyle w:val="18"/>
              <w:spacing w:before="2" w:line="187" w:lineRule="auto"/>
              <w:ind w:firstLine="620" w:firstLineChars="20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2.6采购人监管：采购人每季度可去供应商病案仓库巡视一次，巡视的差旅费用由采购人负责。</w:t>
            </w:r>
          </w:p>
        </w:tc>
      </w:tr>
      <w:tr w14:paraId="6863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546" w:type="dxa"/>
            <w:vMerge w:val="continue"/>
          </w:tcPr>
          <w:p w14:paraId="6771242A">
            <w:pPr>
              <w:jc w:val="center"/>
              <w:rPr>
                <w:color w:val="000000" w:themeColor="text1"/>
                <w:szCs w:val="21"/>
                <w14:textFill>
                  <w14:solidFill>
                    <w14:schemeClr w14:val="tx1"/>
                  </w14:solidFill>
                </w14:textFill>
              </w:rPr>
            </w:pPr>
          </w:p>
        </w:tc>
        <w:tc>
          <w:tcPr>
            <w:tcW w:w="9029" w:type="dxa"/>
          </w:tcPr>
          <w:p w14:paraId="1779B1D1">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▲2.7.供应商病案仓库距采购人所在位置直线距离在150公里范围内。（提供百度地图距离截图）</w:t>
            </w:r>
          </w:p>
        </w:tc>
      </w:tr>
      <w:tr w14:paraId="0311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6D180299">
            <w:pPr>
              <w:jc w:val="center"/>
              <w:rPr>
                <w:color w:val="000000" w:themeColor="text1"/>
                <w:szCs w:val="21"/>
                <w14:textFill>
                  <w14:solidFill>
                    <w14:schemeClr w14:val="tx1"/>
                  </w14:solidFill>
                </w14:textFill>
              </w:rPr>
            </w:pPr>
          </w:p>
        </w:tc>
        <w:tc>
          <w:tcPr>
            <w:tcW w:w="9029" w:type="dxa"/>
          </w:tcPr>
          <w:p w14:paraId="15C3F417">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2.8.后续服务</w:t>
            </w:r>
          </w:p>
        </w:tc>
      </w:tr>
      <w:tr w14:paraId="020F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362E1B5F">
            <w:pPr>
              <w:jc w:val="center"/>
              <w:rPr>
                <w:color w:val="000000" w:themeColor="text1"/>
                <w:szCs w:val="21"/>
                <w14:textFill>
                  <w14:solidFill>
                    <w14:schemeClr w14:val="tx1"/>
                  </w14:solidFill>
                </w14:textFill>
              </w:rPr>
            </w:pPr>
          </w:p>
        </w:tc>
        <w:tc>
          <w:tcPr>
            <w:tcW w:w="9029" w:type="dxa"/>
          </w:tcPr>
          <w:p w14:paraId="057279A8">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2.8.1未数字化的病案需要电子版时，供应商及时将其数字化并通过互联网要求特殊工具加密传输，将其传给采购人。</w:t>
            </w:r>
          </w:p>
        </w:tc>
      </w:tr>
      <w:tr w14:paraId="19EBD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0CEB12FF">
            <w:pPr>
              <w:jc w:val="center"/>
              <w:rPr>
                <w:color w:val="000000" w:themeColor="text1"/>
                <w:szCs w:val="21"/>
                <w14:textFill>
                  <w14:solidFill>
                    <w14:schemeClr w14:val="tx1"/>
                  </w14:solidFill>
                </w14:textFill>
              </w:rPr>
            </w:pPr>
          </w:p>
        </w:tc>
        <w:tc>
          <w:tcPr>
            <w:tcW w:w="9029" w:type="dxa"/>
          </w:tcPr>
          <w:p w14:paraId="6CA22950">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2.8.2采购人需要病案原件，供应商应在48小时内送达。人工及交通费用由供应商负责，采购商不接受任何的第三方转送或邮寄方式运送病案原件，所有病案原件由供应商指定公司员工配送。</w:t>
            </w:r>
          </w:p>
        </w:tc>
      </w:tr>
      <w:tr w14:paraId="6CCE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08481901">
            <w:pPr>
              <w:jc w:val="center"/>
              <w:rPr>
                <w:color w:val="000000" w:themeColor="text1"/>
                <w:szCs w:val="21"/>
                <w14:textFill>
                  <w14:solidFill>
                    <w14:schemeClr w14:val="tx1"/>
                  </w14:solidFill>
                </w14:textFill>
              </w:rPr>
            </w:pPr>
          </w:p>
        </w:tc>
        <w:tc>
          <w:tcPr>
            <w:tcW w:w="9029" w:type="dxa"/>
          </w:tcPr>
          <w:p w14:paraId="44CC8210">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2.8.3送达采购人的病案原件由采购人保存，采购人每季度把调用病案原件重新交接供应商保管。（交接方式另定）</w:t>
            </w:r>
          </w:p>
        </w:tc>
      </w:tr>
      <w:tr w14:paraId="165B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3D714E58">
            <w:pPr>
              <w:jc w:val="center"/>
              <w:rPr>
                <w:color w:val="000000" w:themeColor="text1"/>
                <w:szCs w:val="21"/>
                <w14:textFill>
                  <w14:solidFill>
                    <w14:schemeClr w14:val="tx1"/>
                  </w14:solidFill>
                </w14:textFill>
              </w:rPr>
            </w:pPr>
          </w:p>
        </w:tc>
        <w:tc>
          <w:tcPr>
            <w:tcW w:w="9029" w:type="dxa"/>
          </w:tcPr>
          <w:p w14:paraId="77DB4D64">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2.8.4病案原件到达后采购人需填写病案原件签收单（一式两份），签收单内容包括：原件送达时间、病案号、病人姓名、出院时间和注明签收后的病案原件在采购人处保存，签收单由病案室工作人员签名和盖病案室公章，双方各持清单保管。</w:t>
            </w:r>
          </w:p>
        </w:tc>
      </w:tr>
      <w:tr w14:paraId="1604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restart"/>
          </w:tcPr>
          <w:p w14:paraId="49151951">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w:t>
            </w:r>
          </w:p>
        </w:tc>
        <w:tc>
          <w:tcPr>
            <w:tcW w:w="9029" w:type="dxa"/>
          </w:tcPr>
          <w:p w14:paraId="6CE0D218">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3.病案数字化管理软件</w:t>
            </w:r>
          </w:p>
        </w:tc>
      </w:tr>
      <w:tr w14:paraId="3AEF2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198C7081">
            <w:pPr>
              <w:jc w:val="center"/>
              <w:rPr>
                <w:color w:val="000000" w:themeColor="text1"/>
                <w:szCs w:val="21"/>
                <w14:textFill>
                  <w14:solidFill>
                    <w14:schemeClr w14:val="tx1"/>
                  </w14:solidFill>
                </w14:textFill>
              </w:rPr>
            </w:pPr>
          </w:p>
        </w:tc>
        <w:tc>
          <w:tcPr>
            <w:tcW w:w="9029" w:type="dxa"/>
          </w:tcPr>
          <w:p w14:paraId="0154C390">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3.1.系统内部有口令复杂度判断机制，系统内任何使用口令地方不得存在弱口令（最低密码复杂度要求：大小写字母+数字达到8位或以上）。</w:t>
            </w:r>
          </w:p>
        </w:tc>
      </w:tr>
      <w:tr w14:paraId="58BF2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7E27C35D">
            <w:pPr>
              <w:jc w:val="center"/>
              <w:rPr>
                <w:color w:val="000000" w:themeColor="text1"/>
                <w:szCs w:val="21"/>
                <w14:textFill>
                  <w14:solidFill>
                    <w14:schemeClr w14:val="tx1"/>
                  </w14:solidFill>
                </w14:textFill>
              </w:rPr>
            </w:pPr>
          </w:p>
        </w:tc>
        <w:tc>
          <w:tcPr>
            <w:tcW w:w="9029" w:type="dxa"/>
          </w:tcPr>
          <w:p w14:paraId="50441F39">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3.2.系统前后台端口分离（前端和后台分离，普通用户登陆页面和管理员登陆页面端口分离）。</w:t>
            </w:r>
          </w:p>
        </w:tc>
      </w:tr>
      <w:tr w14:paraId="788BC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78642ADF">
            <w:pPr>
              <w:jc w:val="center"/>
              <w:rPr>
                <w:color w:val="000000" w:themeColor="text1"/>
                <w:szCs w:val="21"/>
                <w14:textFill>
                  <w14:solidFill>
                    <w14:schemeClr w14:val="tx1"/>
                  </w14:solidFill>
                </w14:textFill>
              </w:rPr>
            </w:pPr>
          </w:p>
        </w:tc>
        <w:tc>
          <w:tcPr>
            <w:tcW w:w="9029" w:type="dxa"/>
          </w:tcPr>
          <w:p w14:paraId="72A8A884">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3.3.系统具备防爆破机制，登陆页面增加验证码功能，同一用户登陆失败3次，锁定10分钟。</w:t>
            </w:r>
          </w:p>
        </w:tc>
      </w:tr>
      <w:tr w14:paraId="1D2F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35AB6334">
            <w:pPr>
              <w:jc w:val="center"/>
              <w:rPr>
                <w:color w:val="000000" w:themeColor="text1"/>
                <w:szCs w:val="21"/>
                <w14:textFill>
                  <w14:solidFill>
                    <w14:schemeClr w14:val="tx1"/>
                  </w14:solidFill>
                </w14:textFill>
              </w:rPr>
            </w:pPr>
          </w:p>
        </w:tc>
        <w:tc>
          <w:tcPr>
            <w:tcW w:w="9029" w:type="dxa"/>
          </w:tcPr>
          <w:p w14:paraId="1F8CBE75">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3.4.应用系统自启动，应用系统随着操作系统的重启而自动运行。</w:t>
            </w:r>
          </w:p>
        </w:tc>
      </w:tr>
      <w:tr w14:paraId="0FA8B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6616EBB9">
            <w:pPr>
              <w:jc w:val="center"/>
              <w:rPr>
                <w:color w:val="000000" w:themeColor="text1"/>
                <w:szCs w:val="21"/>
                <w14:textFill>
                  <w14:solidFill>
                    <w14:schemeClr w14:val="tx1"/>
                  </w14:solidFill>
                </w14:textFill>
              </w:rPr>
            </w:pPr>
          </w:p>
        </w:tc>
        <w:tc>
          <w:tcPr>
            <w:tcW w:w="9029" w:type="dxa"/>
          </w:tcPr>
          <w:p w14:paraId="6419988A">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3.5.病案检索：根据病案基本内容进行快速检索，如患者姓名、病案号、出入院日期、出院科室、诊断ICD编码等。</w:t>
            </w:r>
          </w:p>
        </w:tc>
      </w:tr>
      <w:tr w14:paraId="41F79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3BB3DB98">
            <w:pPr>
              <w:jc w:val="center"/>
              <w:rPr>
                <w:color w:val="000000" w:themeColor="text1"/>
                <w:szCs w:val="21"/>
                <w14:textFill>
                  <w14:solidFill>
                    <w14:schemeClr w14:val="tx1"/>
                  </w14:solidFill>
                </w14:textFill>
              </w:rPr>
            </w:pPr>
          </w:p>
        </w:tc>
        <w:tc>
          <w:tcPr>
            <w:tcW w:w="9029" w:type="dxa"/>
          </w:tcPr>
          <w:p w14:paraId="7F3901FE">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3.6.成组查询：可一次录入或导入多个住院号进行查询。</w:t>
            </w:r>
          </w:p>
        </w:tc>
      </w:tr>
      <w:tr w14:paraId="28E07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5C369145">
            <w:pPr>
              <w:jc w:val="center"/>
              <w:rPr>
                <w:color w:val="000000" w:themeColor="text1"/>
                <w:szCs w:val="21"/>
                <w14:textFill>
                  <w14:solidFill>
                    <w14:schemeClr w14:val="tx1"/>
                  </w14:solidFill>
                </w14:textFill>
              </w:rPr>
            </w:pPr>
          </w:p>
        </w:tc>
        <w:tc>
          <w:tcPr>
            <w:tcW w:w="9029" w:type="dxa"/>
          </w:tcPr>
          <w:p w14:paraId="7E58D574">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3.7.对使用病案数字化管理软件的人员进行角色和权限的分配管理，具有阅读权限的授权用户可以申请阅读，通过审核后可以阅读其具有阅读权限的数字化病案内容。用户的阅读权限由具有管理权限的用户自定义。</w:t>
            </w:r>
          </w:p>
        </w:tc>
      </w:tr>
      <w:tr w14:paraId="50D65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57F00788">
            <w:pPr>
              <w:jc w:val="center"/>
              <w:rPr>
                <w:color w:val="000000" w:themeColor="text1"/>
                <w:szCs w:val="21"/>
                <w14:textFill>
                  <w14:solidFill>
                    <w14:schemeClr w14:val="tx1"/>
                  </w14:solidFill>
                </w14:textFill>
              </w:rPr>
            </w:pPr>
          </w:p>
        </w:tc>
        <w:tc>
          <w:tcPr>
            <w:tcW w:w="9029" w:type="dxa"/>
          </w:tcPr>
          <w:p w14:paraId="7C168041">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3.8.具有阅读时限控制功能，查阅者只能在规定的时限内查看资料，超期由系统自动取消查看权限，如果借阅者想延长阅读期限，相关管理人员可以进行延长期限操作，同时相关管理人员也可提前收回借阅人的阅读权限。</w:t>
            </w:r>
          </w:p>
        </w:tc>
      </w:tr>
      <w:tr w14:paraId="3FE1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526B5B39">
            <w:pPr>
              <w:jc w:val="center"/>
              <w:rPr>
                <w:color w:val="000000" w:themeColor="text1"/>
                <w:szCs w:val="21"/>
                <w14:textFill>
                  <w14:solidFill>
                    <w14:schemeClr w14:val="tx1"/>
                  </w14:solidFill>
                </w14:textFill>
              </w:rPr>
            </w:pPr>
          </w:p>
        </w:tc>
        <w:tc>
          <w:tcPr>
            <w:tcW w:w="9029" w:type="dxa"/>
          </w:tcPr>
          <w:p w14:paraId="1CC0E63E">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3.9.拥有相关权限人员可看到该份病案被复印的信息，包括复印次数、复印人、经办人、复印内容（如出院记录、手术记录被复印），复印份数，复印用途等，以体现该份病案不可修改的状态。（提供相关功能截图）</w:t>
            </w:r>
          </w:p>
        </w:tc>
      </w:tr>
      <w:tr w14:paraId="05FD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70449241">
            <w:pPr>
              <w:jc w:val="center"/>
              <w:rPr>
                <w:color w:val="000000" w:themeColor="text1"/>
                <w:szCs w:val="21"/>
                <w14:textFill>
                  <w14:solidFill>
                    <w14:schemeClr w14:val="tx1"/>
                  </w14:solidFill>
                </w14:textFill>
              </w:rPr>
            </w:pPr>
          </w:p>
        </w:tc>
        <w:tc>
          <w:tcPr>
            <w:tcW w:w="9029" w:type="dxa"/>
          </w:tcPr>
          <w:p w14:paraId="1F501C23">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3.10.阅读时禁止拷贝屏幕、禁止鼠标右键功能使用，阅读时病案文件上显示阅读者工号、姓名的水印。</w:t>
            </w:r>
          </w:p>
        </w:tc>
      </w:tr>
      <w:tr w14:paraId="5F6C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4C0D6E70">
            <w:pPr>
              <w:jc w:val="center"/>
              <w:rPr>
                <w:color w:val="000000" w:themeColor="text1"/>
                <w:szCs w:val="21"/>
                <w14:textFill>
                  <w14:solidFill>
                    <w14:schemeClr w14:val="tx1"/>
                  </w14:solidFill>
                </w14:textFill>
              </w:rPr>
            </w:pPr>
          </w:p>
        </w:tc>
        <w:tc>
          <w:tcPr>
            <w:tcW w:w="9029" w:type="dxa"/>
          </w:tcPr>
          <w:p w14:paraId="017C0708">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3.11.病案去重判断：当病案数字化后上传时，系统需进行判断，是否属于重复上传（有可能人为操作失误导致重复上传），若重复上传，则系统提示。</w:t>
            </w:r>
          </w:p>
        </w:tc>
      </w:tr>
      <w:tr w14:paraId="3023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4069F5BF">
            <w:pPr>
              <w:jc w:val="center"/>
              <w:rPr>
                <w:color w:val="000000" w:themeColor="text1"/>
                <w:szCs w:val="21"/>
                <w14:textFill>
                  <w14:solidFill>
                    <w14:schemeClr w14:val="tx1"/>
                  </w14:solidFill>
                </w14:textFill>
              </w:rPr>
            </w:pPr>
          </w:p>
        </w:tc>
        <w:tc>
          <w:tcPr>
            <w:tcW w:w="9029" w:type="dxa"/>
          </w:tcPr>
          <w:p w14:paraId="672CF863">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3.12.在线阅读数字化病案的图片响应时间应在1秒以内。</w:t>
            </w:r>
          </w:p>
        </w:tc>
      </w:tr>
      <w:tr w14:paraId="2302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300EEB17">
            <w:pPr>
              <w:jc w:val="center"/>
              <w:rPr>
                <w:color w:val="000000" w:themeColor="text1"/>
                <w:szCs w:val="21"/>
                <w14:textFill>
                  <w14:solidFill>
                    <w14:schemeClr w14:val="tx1"/>
                  </w14:solidFill>
                </w14:textFill>
              </w:rPr>
            </w:pPr>
          </w:p>
        </w:tc>
        <w:tc>
          <w:tcPr>
            <w:tcW w:w="9029" w:type="dxa"/>
          </w:tcPr>
          <w:p w14:paraId="135CF529">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▲3.13.病案多版本管理：若病案存在补单录入情况，系统将自动生成新的版本，原版本另设存储，可提供痕迹查询功能，包括查看老版本病案图片。（提供相关功能截图）</w:t>
            </w:r>
          </w:p>
        </w:tc>
      </w:tr>
      <w:tr w14:paraId="14373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1E33490E">
            <w:pPr>
              <w:jc w:val="center"/>
              <w:rPr>
                <w:color w:val="000000" w:themeColor="text1"/>
                <w:szCs w:val="21"/>
                <w14:textFill>
                  <w14:solidFill>
                    <w14:schemeClr w14:val="tx1"/>
                  </w14:solidFill>
                </w14:textFill>
              </w:rPr>
            </w:pPr>
          </w:p>
        </w:tc>
        <w:tc>
          <w:tcPr>
            <w:tcW w:w="9029" w:type="dxa"/>
          </w:tcPr>
          <w:p w14:paraId="6284A3AC">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3.26.病案管理系统要求能够进行一致性回溯分析。对任何操作事件都能通过时间序列进行一致性回溯。</w:t>
            </w:r>
          </w:p>
        </w:tc>
      </w:tr>
      <w:tr w14:paraId="6C8CB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5D9313A2">
            <w:pPr>
              <w:jc w:val="center"/>
              <w:rPr>
                <w:color w:val="000000" w:themeColor="text1"/>
                <w:szCs w:val="21"/>
                <w14:textFill>
                  <w14:solidFill>
                    <w14:schemeClr w14:val="tx1"/>
                  </w14:solidFill>
                </w14:textFill>
              </w:rPr>
            </w:pPr>
          </w:p>
        </w:tc>
        <w:tc>
          <w:tcPr>
            <w:tcW w:w="9029" w:type="dxa"/>
          </w:tcPr>
          <w:p w14:paraId="19311BD5">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3.27.三重加密：用户登录密码加密、数据库连接加密、文件上传链接加密，拒绝明文传送关键信息，拒绝开放式，保证数据安全。</w:t>
            </w:r>
          </w:p>
        </w:tc>
      </w:tr>
      <w:tr w14:paraId="36D1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1F64FEC9">
            <w:pPr>
              <w:jc w:val="center"/>
              <w:rPr>
                <w:color w:val="000000" w:themeColor="text1"/>
                <w:szCs w:val="21"/>
                <w14:textFill>
                  <w14:solidFill>
                    <w14:schemeClr w14:val="tx1"/>
                  </w14:solidFill>
                </w14:textFill>
              </w:rPr>
            </w:pPr>
          </w:p>
        </w:tc>
        <w:tc>
          <w:tcPr>
            <w:tcW w:w="9029" w:type="dxa"/>
          </w:tcPr>
          <w:p w14:paraId="0B0CC8FF">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3.28.系统要求拥有权限分配系统，通过权限、功能、角色、用户构成动态权限系统，即角色可以同时拥有多个权限，用户可以同时拥有多个角色。</w:t>
            </w:r>
          </w:p>
        </w:tc>
      </w:tr>
      <w:tr w14:paraId="774E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7B39A925">
            <w:pPr>
              <w:jc w:val="center"/>
              <w:rPr>
                <w:color w:val="000000" w:themeColor="text1"/>
                <w:szCs w:val="21"/>
                <w14:textFill>
                  <w14:solidFill>
                    <w14:schemeClr w14:val="tx1"/>
                  </w14:solidFill>
                </w14:textFill>
              </w:rPr>
            </w:pPr>
          </w:p>
        </w:tc>
        <w:tc>
          <w:tcPr>
            <w:tcW w:w="9029" w:type="dxa"/>
          </w:tcPr>
          <w:p w14:paraId="0014055D">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3.29.服务器管理：通过服务器管理功能管理员或相关人员可不登录服务器即可掌握服务器的存储、负载、运行情况，随时掌控服务器状况。</w:t>
            </w:r>
          </w:p>
        </w:tc>
      </w:tr>
      <w:tr w14:paraId="21F0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7CC08023">
            <w:pPr>
              <w:jc w:val="center"/>
              <w:rPr>
                <w:color w:val="000000" w:themeColor="text1"/>
                <w:szCs w:val="21"/>
                <w14:textFill>
                  <w14:solidFill>
                    <w14:schemeClr w14:val="tx1"/>
                  </w14:solidFill>
                </w14:textFill>
              </w:rPr>
            </w:pPr>
          </w:p>
        </w:tc>
        <w:tc>
          <w:tcPr>
            <w:tcW w:w="9029" w:type="dxa"/>
          </w:tcPr>
          <w:p w14:paraId="7FF86FBB">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3.30.用户管理：管理数字化客户端用户信息及B/S浏览用户信息，可以对用户信息进行查询/添加/修改/删除操作，可以配合病案设置保密等级权限，可以限定用户查看及申请科室权限；</w:t>
            </w:r>
          </w:p>
        </w:tc>
      </w:tr>
      <w:tr w14:paraId="08562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2D14298E">
            <w:pPr>
              <w:jc w:val="center"/>
              <w:rPr>
                <w:color w:val="000000" w:themeColor="text1"/>
                <w:szCs w:val="21"/>
                <w14:textFill>
                  <w14:solidFill>
                    <w14:schemeClr w14:val="tx1"/>
                  </w14:solidFill>
                </w14:textFill>
              </w:rPr>
            </w:pPr>
          </w:p>
        </w:tc>
        <w:tc>
          <w:tcPr>
            <w:tcW w:w="9029" w:type="dxa"/>
          </w:tcPr>
          <w:p w14:paraId="23BD0845">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3.31.用户组（角色）管理：对用户进行分组分角色，可对分组（角色）进行查询/添加/修改/删除操作；</w:t>
            </w:r>
          </w:p>
        </w:tc>
      </w:tr>
      <w:tr w14:paraId="47F5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6558DF22">
            <w:pPr>
              <w:jc w:val="center"/>
              <w:rPr>
                <w:color w:val="000000" w:themeColor="text1"/>
                <w:szCs w:val="21"/>
                <w14:textFill>
                  <w14:solidFill>
                    <w14:schemeClr w14:val="tx1"/>
                  </w14:solidFill>
                </w14:textFill>
              </w:rPr>
            </w:pPr>
          </w:p>
        </w:tc>
        <w:tc>
          <w:tcPr>
            <w:tcW w:w="9029" w:type="dxa"/>
          </w:tcPr>
          <w:p w14:paraId="34E2BD23">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3.32.权限组管理：对用户和用户组（角色）所拥有的系统功能进行设置。</w:t>
            </w:r>
          </w:p>
        </w:tc>
      </w:tr>
      <w:tr w14:paraId="798E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vMerge w:val="continue"/>
          </w:tcPr>
          <w:p w14:paraId="28D42069">
            <w:pPr>
              <w:jc w:val="center"/>
              <w:rPr>
                <w:color w:val="000000" w:themeColor="text1"/>
                <w:szCs w:val="21"/>
                <w14:textFill>
                  <w14:solidFill>
                    <w14:schemeClr w14:val="tx1"/>
                  </w14:solidFill>
                </w14:textFill>
              </w:rPr>
            </w:pPr>
          </w:p>
        </w:tc>
        <w:tc>
          <w:tcPr>
            <w:tcW w:w="9029" w:type="dxa"/>
          </w:tcPr>
          <w:p w14:paraId="078A6CE8">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3.33.数据库备份：要求数据库每天都能定时备份，系统要求每个月进行备份一次；</w:t>
            </w:r>
          </w:p>
        </w:tc>
      </w:tr>
      <w:tr w14:paraId="0CA9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tcPr>
          <w:p w14:paraId="4EEFF8F3">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w:t>
            </w:r>
          </w:p>
        </w:tc>
        <w:tc>
          <w:tcPr>
            <w:tcW w:w="9029" w:type="dxa"/>
          </w:tcPr>
          <w:p w14:paraId="49E9345E">
            <w:pPr>
              <w:pStyle w:val="18"/>
              <w:spacing w:before="2" w:line="187" w:lineRule="auto"/>
              <w:ind w:firstLine="620" w:firstLineChars="20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信息保密：供应商需和采购人签订《保密协议》，保障对病案资料的保密工作，供应商如果违反协议，采购人有权追究其法律责任并要求赔偿相应损失，构成犯罪的，移交司法机关追究其刑事责任。</w:t>
            </w:r>
          </w:p>
        </w:tc>
      </w:tr>
      <w:tr w14:paraId="4D75D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tcPr>
          <w:p w14:paraId="549CA911">
            <w:pPr>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w:t>
            </w:r>
          </w:p>
        </w:tc>
        <w:tc>
          <w:tcPr>
            <w:tcW w:w="9029" w:type="dxa"/>
          </w:tcPr>
          <w:p w14:paraId="7D8F32A2">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★病案应进行分页存储，严禁无视病案的厚度而将一整份病案储存为一份pdf文件而造成调阅困难。</w:t>
            </w:r>
          </w:p>
        </w:tc>
      </w:tr>
      <w:tr w14:paraId="71472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tcPr>
          <w:p w14:paraId="39F854B0">
            <w:pPr>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w:t>
            </w:r>
          </w:p>
        </w:tc>
        <w:tc>
          <w:tcPr>
            <w:tcW w:w="9029" w:type="dxa"/>
            <w:vAlign w:val="top"/>
          </w:tcPr>
          <w:p w14:paraId="72790926">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★每份病案的每张数字化图像文件的哈希值均要求存放于数据库保存，上传时通过哈希值判断图片是否一样，避免重复提交相同的图片到服务器中，图片版本变更其对应的哈希值要随之更新。</w:t>
            </w:r>
          </w:p>
        </w:tc>
      </w:tr>
      <w:tr w14:paraId="1D45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46" w:type="dxa"/>
          </w:tcPr>
          <w:p w14:paraId="15386D86">
            <w:pPr>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w:t>
            </w:r>
          </w:p>
        </w:tc>
        <w:tc>
          <w:tcPr>
            <w:tcW w:w="9029" w:type="dxa"/>
            <w:vAlign w:val="top"/>
          </w:tcPr>
          <w:p w14:paraId="1DB51513">
            <w:pPr>
              <w:pStyle w:val="18"/>
              <w:spacing w:before="2" w:line="187"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为每份病案的所有页都建立索引，索引数量≥80个,包括病案首页、入院记录、出院记录、病程记录、知情同意书、手术记录、检验单、医嘱单、体温单、化验单、B超报告、X光报告、CT报告、护理记录、病理报告等（具体索引字典和采购人协商决定），可检索并调阅病案中的具体模块，调用单个模块时禁止将整份病案调用出来，防止加重服务器负担造成服务器宕机。</w:t>
            </w:r>
          </w:p>
        </w:tc>
      </w:tr>
    </w:tbl>
    <w:p w14:paraId="3836A411">
      <w:pPr>
        <w:rPr>
          <w:b/>
          <w:sz w:val="24"/>
        </w:rPr>
      </w:pPr>
    </w:p>
    <w:p w14:paraId="285DF840">
      <w:pPr>
        <w:spacing w:before="133" w:line="183" w:lineRule="auto"/>
        <w:ind w:firstLine="648" w:firstLineChars="200"/>
        <w:rPr>
          <w:rFonts w:hint="eastAsia" w:ascii="仿宋_GB2312" w:hAnsi="仿宋_GB2312" w:eastAsia="仿宋_GB2312" w:cs="仿宋_GB2312"/>
          <w:sz w:val="31"/>
          <w:szCs w:val="31"/>
        </w:rPr>
      </w:pPr>
      <w:r>
        <w:rPr>
          <w:rFonts w:hint="eastAsia" w:ascii="仿宋_GB2312" w:hAnsi="仿宋_GB2312" w:eastAsia="仿宋_GB2312" w:cs="仿宋_GB2312"/>
          <w:spacing w:val="7"/>
          <w:sz w:val="31"/>
          <w:szCs w:val="31"/>
        </w:rPr>
        <w:t>（</w:t>
      </w:r>
      <w:r>
        <w:rPr>
          <w:rFonts w:hint="eastAsia" w:ascii="仿宋_GB2312" w:hAnsi="仿宋_GB2312" w:eastAsia="仿宋_GB2312" w:cs="仿宋_GB2312"/>
          <w:spacing w:val="7"/>
          <w:sz w:val="31"/>
          <w:szCs w:val="31"/>
          <w:lang w:val="en-US" w:eastAsia="zh-CN"/>
        </w:rPr>
        <w:t>二</w:t>
      </w:r>
      <w:r>
        <w:rPr>
          <w:rFonts w:hint="eastAsia" w:ascii="仿宋_GB2312" w:hAnsi="仿宋_GB2312" w:eastAsia="仿宋_GB2312" w:cs="仿宋_GB2312"/>
          <w:spacing w:val="7"/>
          <w:sz w:val="31"/>
          <w:szCs w:val="31"/>
        </w:rPr>
        <w:t>）采购要求</w:t>
      </w:r>
    </w:p>
    <w:p w14:paraId="4147876E">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数字化扫描加工地点为采购人指定地点，病案异地托管地点为中标方病案仓库。</w:t>
      </w:r>
    </w:p>
    <w:p w14:paraId="193C7135">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中标单位负责迁移历史数据及纸质病历。</w:t>
      </w:r>
    </w:p>
    <w:p w14:paraId="554123D3">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项目委托服务费用小于 16万元(不含)。采取综合评分方式择优评定。</w:t>
      </w:r>
    </w:p>
    <w:p w14:paraId="5E58E9F1">
      <w:pPr>
        <w:pStyle w:val="18"/>
        <w:spacing w:before="2" w:line="187" w:lineRule="auto"/>
        <w:ind w:left="0" w:leftChars="0" w:firstLine="620" w:firstLineChars="200"/>
        <w:rPr>
          <w:rFonts w:hint="default" w:ascii="仿宋_GB2312" w:hAnsi="仿宋_GB2312" w:eastAsia="仿宋_GB2312" w:cs="仿宋_GB2312"/>
          <w:b/>
          <w:bCs/>
          <w:lang w:val="en-US" w:eastAsia="zh-CN"/>
        </w:rPr>
      </w:pPr>
      <w:r>
        <w:rPr>
          <w:rFonts w:hint="eastAsia" w:ascii="仿宋_GB2312" w:hAnsi="仿宋_GB2312" w:eastAsia="仿宋_GB2312" w:cs="仿宋_GB2312"/>
          <w:lang w:val="en-US" w:eastAsia="zh-CN"/>
        </w:rPr>
        <w:t>★</w:t>
      </w:r>
      <w:r>
        <w:rPr>
          <w:rFonts w:hint="eastAsia" w:ascii="仿宋_GB2312" w:hAnsi="仿宋_GB2312" w:eastAsia="仿宋_GB2312" w:cs="仿宋_GB2312"/>
          <w:b/>
          <w:bCs/>
          <w:lang w:val="en-US" w:eastAsia="zh-CN"/>
        </w:rPr>
        <w:t>三、商务要求</w:t>
      </w:r>
    </w:p>
    <w:p w14:paraId="091B3274">
      <w:pPr>
        <w:pStyle w:val="18"/>
        <w:spacing w:before="2" w:line="187" w:lineRule="auto"/>
        <w:ind w:left="0" w:leftChars="0" w:firstLine="620" w:firstLineChars="20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1.中标人提供完整的技术文档（含纸质及电子文档），包括数据库设计方案及表结构、软件安装文件、操作手册和维护手册等。</w:t>
      </w:r>
    </w:p>
    <w:p w14:paraId="3AFBC14C">
      <w:pPr>
        <w:pStyle w:val="18"/>
        <w:spacing w:before="2" w:line="187" w:lineRule="auto"/>
        <w:ind w:left="0" w:leftChars="0" w:firstLine="620" w:firstLineChars="20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在项目实施期间及项目完成后，若出现技术故障，需在2个工作日内解决系统故障。在收到采购方应急服务要求后需及时做出应急服务响应，应急响应要求30分钟内响应，2小时内处置。技术支持与售后服务，不额外收取费用，</w:t>
      </w:r>
      <w:r>
        <w:rPr>
          <w:rFonts w:hint="default" w:ascii="仿宋_GB2312" w:hAnsi="仿宋_GB2312" w:eastAsia="仿宋_GB2312" w:cs="仿宋_GB2312"/>
          <w:lang w:val="en-US" w:eastAsia="zh-CN"/>
        </w:rPr>
        <w:t>提供软件的终身免费升级服务。</w:t>
      </w:r>
    </w:p>
    <w:p w14:paraId="5C7D0CE1">
      <w:pPr>
        <w:spacing w:line="240" w:lineRule="auto"/>
        <w:ind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sz w:val="31"/>
          <w:szCs w:val="31"/>
          <w:lang w:val="en-US" w:eastAsia="zh-CN"/>
        </w:rPr>
        <w:t>3.病案数字化的款项按年度付款，每年第二季度一次性支付托管扫描费用，按实际数量结算。</w:t>
      </w:r>
      <w:r>
        <w:rPr>
          <w:rFonts w:hint="eastAsia" w:ascii="仿宋_GB2312" w:hAnsi="仿宋_GB2312" w:eastAsia="仿宋_GB2312" w:cs="仿宋_GB2312"/>
          <w:bCs w:val="0"/>
          <w:sz w:val="31"/>
          <w:szCs w:val="31"/>
        </w:rPr>
        <w:t>项目完成及验收通过后</w:t>
      </w:r>
      <w:r>
        <w:rPr>
          <w:rFonts w:hint="eastAsia" w:ascii="仿宋_GB2312" w:hAnsi="仿宋_GB2312" w:eastAsia="仿宋_GB2312" w:cs="仿宋_GB2312"/>
          <w:bCs w:val="0"/>
          <w:sz w:val="31"/>
          <w:szCs w:val="31"/>
          <w:lang w:val="en-US" w:eastAsia="zh-CN"/>
        </w:rPr>
        <w:t>10个工作日内</w:t>
      </w:r>
      <w:r>
        <w:rPr>
          <w:rFonts w:hint="eastAsia" w:ascii="仿宋_GB2312" w:hAnsi="仿宋_GB2312" w:eastAsia="仿宋_GB2312" w:cs="仿宋_GB2312"/>
          <w:bCs w:val="0"/>
          <w:sz w:val="31"/>
          <w:szCs w:val="31"/>
        </w:rPr>
        <w:t>支付。</w:t>
      </w:r>
    </w:p>
    <w:p w14:paraId="1DDE8FD9">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4.期限与地点：服务期限为12个月。数字化扫描加工地点为采购人指定地点，病案异地托管地点为中标方病案仓库。</w:t>
      </w:r>
    </w:p>
    <w:p w14:paraId="62B9BD29">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5.验收方法及标准</w:t>
      </w:r>
    </w:p>
    <w:p w14:paraId="5BF61080">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5.1.验收方法：前中后随机抽查一定数量（占数字化的3%）的图像和纸质住院病案，与纸质住院病案对照核对数量及质量。</w:t>
      </w:r>
    </w:p>
    <w:p w14:paraId="3D05E12C">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5.2.验收标准：</w:t>
      </w:r>
    </w:p>
    <w:p w14:paraId="0E1D7B2A">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5.2.1、数字化图像是否与纸质完全一致。</w:t>
      </w:r>
    </w:p>
    <w:p w14:paraId="615DF9E3">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5.2.2、数字化图像格式和清晰度是否符合要求。</w:t>
      </w:r>
    </w:p>
    <w:p w14:paraId="71016EE8">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5.2.3、数字化影像端正、清晰；影像清晰无虚影、影像倒置等。</w:t>
      </w:r>
    </w:p>
    <w:p w14:paraId="2B6A855C">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5.2.4、差错率：目录数据库与图像文件挂接错误，或目录数据库、图像文件之一出现不完整、不清晰、有错误等质量问题时，抽检标记为“不合格”。依据“纸质档案数字化技术标准（中华人民共和国档案行业标准 DA/T31-2005）”11.2.2之规定，数字化转换质量抽检的合格率应≧95%。</w:t>
      </w:r>
    </w:p>
    <w:p w14:paraId="2989EAB9">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5.2.5、已装箱打包的病案，其示踪准确无误、箱体标识整洁明了。</w:t>
      </w:r>
    </w:p>
    <w:p w14:paraId="6381AB6A">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6.违约责任</w:t>
      </w:r>
    </w:p>
    <w:p w14:paraId="2A56CB6A">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6.1、对于数字化不合格的病历要求中标方免费重新进行数字化直到合格。</w:t>
      </w:r>
    </w:p>
    <w:p w14:paraId="435EFA87">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6.2、中标人出现违反《医院住院病案数字化管理服务保密协议》条款，泄露病人信息，由中标人承担全部责任，包括有关法律和经济赔偿责任。若采购人被患者索赔，由中标人承担全部赔偿责任，中标人并承担给采购人造成的其他损失责任，包括但不限于诉讼费、律师费、差旅费、鉴定费等费用。</w:t>
      </w:r>
    </w:p>
    <w:p w14:paraId="2E3CFB5D">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6.3、采购人因使用数字化管理软件遭第三方索赔，由中标人承担全部赔偿责任，中标人并承担给采购人造成的其他损失责任，包括但不限于诉讼费、律师费、差旅费、鉴定费等费用。</w:t>
      </w:r>
    </w:p>
    <w:p w14:paraId="5DCECB29">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7.用户培训</w:t>
      </w:r>
    </w:p>
    <w:p w14:paraId="7DF4DFA2">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中标人应派专业技术人员免费对采购人指定人员进行培训及指导，包括软件的使用和数据的维护。</w:t>
      </w:r>
    </w:p>
    <w:p w14:paraId="30F26DAB">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8.争议解决</w:t>
      </w:r>
    </w:p>
    <w:p w14:paraId="4F25EC2C">
      <w:pPr>
        <w:pStyle w:val="18"/>
        <w:spacing w:before="2" w:line="187" w:lineRule="auto"/>
        <w:ind w:left="0" w:leftChars="0" w:firstLine="6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履行期间项目有关的一切争议应通过双方友好协商解决，经协商仍无法解决的，可在在采购人所在地人民法院提起诉讼。</w:t>
      </w:r>
    </w:p>
    <w:p w14:paraId="3BDBC866">
      <w:pPr>
        <w:pStyle w:val="18"/>
        <w:spacing w:before="2" w:line="187" w:lineRule="auto"/>
        <w:ind w:left="0" w:leftChars="0" w:firstLine="620" w:firstLineChars="200"/>
        <w:rPr>
          <w:rFonts w:hint="default" w:ascii="仿宋_GB2312" w:hAnsi="仿宋_GB2312" w:eastAsia="仿宋_GB2312" w:cs="仿宋_GB2312"/>
          <w:lang w:val="en-US" w:eastAsia="zh-CN"/>
        </w:rPr>
      </w:pPr>
    </w:p>
    <w:p w14:paraId="4470A690">
      <w:pPr>
        <w:pStyle w:val="18"/>
        <w:spacing w:before="2" w:line="187" w:lineRule="auto"/>
        <w:ind w:left="0" w:leftChars="0" w:firstLine="620" w:firstLineChars="200"/>
        <w:rPr>
          <w:rFonts w:hint="eastAsia" w:ascii="仿宋_GB2312" w:hAnsi="仿宋_GB2312" w:eastAsia="仿宋_GB2312" w:cs="仿宋_GB2312"/>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lNTlhMWJkYjVmZGViY2M0NWIyY2FhOTVkOTIwMzEifQ=="/>
  </w:docVars>
  <w:rsids>
    <w:rsidRoot w:val="474E3036"/>
    <w:rsid w:val="060314ED"/>
    <w:rsid w:val="098F7F23"/>
    <w:rsid w:val="0F9718DF"/>
    <w:rsid w:val="15B30AF5"/>
    <w:rsid w:val="15D348A7"/>
    <w:rsid w:val="15FA2BC8"/>
    <w:rsid w:val="172D0D7B"/>
    <w:rsid w:val="1C3425B8"/>
    <w:rsid w:val="20384A18"/>
    <w:rsid w:val="20FD09D9"/>
    <w:rsid w:val="210B5C89"/>
    <w:rsid w:val="256242E5"/>
    <w:rsid w:val="2D0B0DBF"/>
    <w:rsid w:val="2D9E60D7"/>
    <w:rsid w:val="31715895"/>
    <w:rsid w:val="36435A6D"/>
    <w:rsid w:val="38A10829"/>
    <w:rsid w:val="3956004C"/>
    <w:rsid w:val="3B037579"/>
    <w:rsid w:val="3E3F6B1A"/>
    <w:rsid w:val="420C6CC7"/>
    <w:rsid w:val="44FA5C39"/>
    <w:rsid w:val="45C5024D"/>
    <w:rsid w:val="474E3036"/>
    <w:rsid w:val="4AB03279"/>
    <w:rsid w:val="4E6D2AFE"/>
    <w:rsid w:val="4FCC21D8"/>
    <w:rsid w:val="56DC5B5B"/>
    <w:rsid w:val="585D2567"/>
    <w:rsid w:val="59777658"/>
    <w:rsid w:val="5C4952DC"/>
    <w:rsid w:val="5D7B50C6"/>
    <w:rsid w:val="5E4E6BDA"/>
    <w:rsid w:val="64836EB1"/>
    <w:rsid w:val="65767E03"/>
    <w:rsid w:val="686F68A7"/>
    <w:rsid w:val="6A3F1ACC"/>
    <w:rsid w:val="6ACA764E"/>
    <w:rsid w:val="6B0D68F9"/>
    <w:rsid w:val="6FE23626"/>
    <w:rsid w:val="701D28B0"/>
    <w:rsid w:val="70F01D72"/>
    <w:rsid w:val="722577FA"/>
    <w:rsid w:val="74275AAB"/>
    <w:rsid w:val="749173C8"/>
    <w:rsid w:val="74FA31C0"/>
    <w:rsid w:val="7ECD3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widowControl/>
      <w:jc w:val="left"/>
      <w:outlineLvl w:val="0"/>
    </w:pPr>
    <w:rPr>
      <w:b/>
      <w:bCs/>
      <w:kern w:val="0"/>
      <w:sz w:val="24"/>
    </w:rPr>
  </w:style>
  <w:style w:type="paragraph" w:styleId="3">
    <w:name w:val="heading 2"/>
    <w:basedOn w:val="4"/>
    <w:next w:val="5"/>
    <w:autoRedefine/>
    <w:qFormat/>
    <w:uiPriority w:val="0"/>
    <w:pPr>
      <w:keepNext/>
      <w:keepLines/>
      <w:spacing w:before="260" w:after="260" w:line="416" w:lineRule="auto"/>
      <w:outlineLvl w:val="1"/>
    </w:pPr>
    <w:rPr>
      <w:rFonts w:ascii="Arial" w:hAnsi="Arial" w:eastAsia="黑体"/>
      <w:sz w:val="32"/>
      <w:szCs w:val="32"/>
    </w:rPr>
  </w:style>
  <w:style w:type="paragraph" w:styleId="4">
    <w:name w:val="heading 3"/>
    <w:basedOn w:val="5"/>
    <w:next w:val="1"/>
    <w:qFormat/>
    <w:uiPriority w:val="9"/>
    <w:pPr>
      <w:spacing w:before="260" w:after="260" w:line="240" w:lineRule="auto"/>
      <w:outlineLvl w:val="2"/>
    </w:pPr>
    <w:rPr>
      <w:rFonts w:ascii="宋体" w:hAnsi="宋体" w:eastAsia="宋体"/>
      <w:szCs w:val="32"/>
    </w:rPr>
  </w:style>
  <w:style w:type="paragraph" w:styleId="5">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6">
    <w:name w:val="annotation text"/>
    <w:basedOn w:val="1"/>
    <w:autoRedefine/>
    <w:qFormat/>
    <w:uiPriority w:val="0"/>
    <w:pPr>
      <w:jc w:val="left"/>
    </w:pPr>
    <w:rPr>
      <w:rFonts w:asciiTheme="minorHAnsi" w:hAnsiTheme="minorHAnsi" w:eastAsiaTheme="minorEastAsia" w:cstheme="minorBidi"/>
    </w:rPr>
  </w:style>
  <w:style w:type="paragraph" w:styleId="7">
    <w:name w:val="Body Text"/>
    <w:basedOn w:val="1"/>
    <w:next w:val="8"/>
    <w:autoRedefine/>
    <w:qFormat/>
    <w:uiPriority w:val="0"/>
    <w:pPr>
      <w:spacing w:after="120"/>
    </w:pPr>
  </w:style>
  <w:style w:type="paragraph" w:styleId="8">
    <w:name w:val="Body Text 2"/>
    <w:basedOn w:val="1"/>
    <w:autoRedefine/>
    <w:qFormat/>
    <w:uiPriority w:val="0"/>
    <w:pPr>
      <w:spacing w:line="360" w:lineRule="auto"/>
    </w:pPr>
    <w:rPr>
      <w:sz w:val="24"/>
    </w:rPr>
  </w:style>
  <w:style w:type="paragraph" w:styleId="9">
    <w:name w:val="Plain Text"/>
    <w:basedOn w:val="1"/>
    <w:autoRedefine/>
    <w:qFormat/>
    <w:uiPriority w:val="0"/>
    <w:rPr>
      <w:rFonts w:ascii="宋体" w:hAnsi="Courier New" w:cs="Courier New" w:eastAsiaTheme="minorEastAsia"/>
      <w:szCs w:val="21"/>
    </w:rPr>
  </w:style>
  <w:style w:type="paragraph" w:styleId="10">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13">
    <w:name w:val="L-正文"/>
    <w:basedOn w:val="1"/>
    <w:autoRedefine/>
    <w:qFormat/>
    <w:uiPriority w:val="0"/>
    <w:pPr>
      <w:widowControl/>
      <w:adjustRightInd w:val="0"/>
      <w:snapToGrid w:val="0"/>
    </w:pPr>
    <w:rPr>
      <w:rFonts w:ascii="等线" w:hAnsi="等线"/>
      <w:color w:val="000000"/>
      <w:szCs w:val="20"/>
    </w:rPr>
  </w:style>
  <w:style w:type="paragraph" w:customStyle="1" w:styleId="14">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5">
    <w:name w:val="列出段落1"/>
    <w:basedOn w:val="1"/>
    <w:autoRedefine/>
    <w:qFormat/>
    <w:uiPriority w:val="34"/>
    <w:pPr>
      <w:ind w:firstLine="420" w:firstLineChars="200"/>
    </w:pPr>
  </w:style>
  <w:style w:type="paragraph" w:customStyle="1" w:styleId="16">
    <w:name w:val="文档正文"/>
    <w:basedOn w:val="1"/>
    <w:autoRedefine/>
    <w:qFormat/>
    <w:uiPriority w:val="0"/>
    <w:pPr>
      <w:spacing w:afterLines="0" w:line="360" w:lineRule="auto"/>
    </w:pPr>
    <w:rPr>
      <w:rFonts w:cs="Arial"/>
      <w:bCs/>
    </w:rPr>
  </w:style>
  <w:style w:type="character" w:customStyle="1" w:styleId="17">
    <w:name w:val="NormalCharacter"/>
    <w:autoRedefine/>
    <w:qFormat/>
    <w:uiPriority w:val="0"/>
    <w:rPr>
      <w:kern w:val="2"/>
      <w:sz w:val="21"/>
      <w:szCs w:val="24"/>
      <w:lang w:val="en-US" w:eastAsia="zh-CN" w:bidi="ar-SA"/>
    </w:rPr>
  </w:style>
  <w:style w:type="paragraph" w:customStyle="1" w:styleId="18">
    <w:name w:val="Table Text"/>
    <w:basedOn w:val="1"/>
    <w:autoRedefine/>
    <w:semiHidden/>
    <w:qFormat/>
    <w:uiPriority w:val="0"/>
    <w:rPr>
      <w:rFonts w:ascii="微软雅黑" w:hAnsi="微软雅黑" w:eastAsia="微软雅黑" w:cs="微软雅黑"/>
      <w:sz w:val="31"/>
      <w:szCs w:val="3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4461</Words>
  <Characters>4820</Characters>
  <Lines>0</Lines>
  <Paragraphs>0</Paragraphs>
  <TotalTime>21</TotalTime>
  <ScaleCrop>false</ScaleCrop>
  <LinksUpToDate>false</LinksUpToDate>
  <CharactersWithSpaces>4833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2023-10-31T06:25:00Z</dcterms:created>
  <dc:creator>管理员</dc:creator>
  <cp:lastModifiedBy>scott</cp:lastModifiedBy>
  <dcterms:modified xsi:type="dcterms:W3CDTF">2026-04-21T06:24:54Z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064C3A0144CA48FF93EC74E2CE81230C_13</vt:lpwstr>
  </property>
  <property fmtid="{D5CDD505-2E9C-101B-9397-08002B2CF9AE}" pid="4" name="KSOTemplateDocerSaveRecord">
    <vt:lpwstr>eyJoZGlkIjoiNTlhMGE2NzcxZTA5MmEzOWU1NmYwYWRjMDE0ZDEwMTkiLCJ1c2VySWQiOiIyNDg0MjA5MjAifQ==</vt:lpwstr>
  </property>
</Properties>
</file>