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3D82">
      <w:pPr>
        <w:widowControl/>
        <w:spacing w:line="460" w:lineRule="exact"/>
        <w:jc w:val="center"/>
        <w:outlineLvl w:val="0"/>
        <w:rPr>
          <w:rFonts w:hint="eastAsia" w:ascii="Times New Roman" w:hAnsi="Times New Roman" w:eastAsia="宋体" w:cs="Times New Roman"/>
          <w:b/>
          <w:bCs/>
          <w:lang w:val="en-US" w:eastAsia="zh-CN"/>
        </w:rPr>
      </w:pPr>
      <w:bookmarkStart w:id="0" w:name="_Toc11375"/>
      <w:r>
        <w:rPr>
          <w:rFonts w:hint="eastAsia" w:ascii="Times New Roman" w:hAnsi="Times New Roman" w:eastAsia="宋体" w:cs="Times New Roman"/>
          <w:b/>
          <w:bCs/>
          <w:kern w:val="44"/>
          <w:sz w:val="44"/>
          <w:szCs w:val="44"/>
          <w:lang w:val="en-US" w:eastAsia="zh-CN"/>
        </w:rPr>
        <w:t>用户需求书</w:t>
      </w:r>
      <w:bookmarkEnd w:id="0"/>
    </w:p>
    <w:p w14:paraId="1FA57917">
      <w:pPr>
        <w:snapToGrid w:val="0"/>
        <w:spacing w:line="360" w:lineRule="auto"/>
        <w:rPr>
          <w:rFonts w:ascii="宋体" w:hAnsi="Times New Roman" w:eastAsia="宋体" w:cs="Times New Roman"/>
          <w:b/>
          <w:bCs/>
          <w:szCs w:val="20"/>
        </w:rPr>
      </w:pPr>
      <w:r>
        <w:rPr>
          <w:rFonts w:hint="eastAsia" w:ascii="宋体" w:hAnsi="Times New Roman" w:eastAsia="宋体" w:cs="Times New Roman"/>
          <w:b/>
          <w:bCs/>
          <w:szCs w:val="20"/>
        </w:rPr>
        <w:t>说明：</w:t>
      </w:r>
    </w:p>
    <w:p w14:paraId="52569D8B">
      <w:pPr>
        <w:numPr>
          <w:ilvl w:val="0"/>
          <w:numId w:val="1"/>
        </w:numPr>
        <w:snapToGrid w:val="0"/>
        <w:spacing w:line="360" w:lineRule="auto"/>
        <w:ind w:left="422" w:hanging="422" w:hangingChars="200"/>
        <w:rPr>
          <w:rFonts w:ascii="宋体" w:hAnsi="Times New Roman" w:eastAsia="宋体" w:cs="Times New Roman"/>
          <w:b/>
          <w:bCs/>
          <w:color w:val="auto"/>
          <w:szCs w:val="20"/>
          <w:highlight w:val="none"/>
        </w:rPr>
      </w:pPr>
      <w:r>
        <w:rPr>
          <w:rFonts w:hint="eastAsia" w:ascii="宋体" w:hAnsi="Times New Roman" w:eastAsia="宋体" w:cs="Times New Roman"/>
          <w:b/>
          <w:bCs/>
          <w:szCs w:val="20"/>
        </w:rPr>
        <w:t>投标人须对本项目的</w:t>
      </w:r>
      <w:r>
        <w:rPr>
          <w:rFonts w:hint="eastAsia" w:ascii="宋体" w:hAnsi="宋体" w:eastAsia="宋体" w:cs="Times New Roman"/>
          <w:b/>
          <w:bCs/>
          <w:szCs w:val="21"/>
        </w:rPr>
        <w:t>采购标的或服务内容</w:t>
      </w:r>
      <w:r>
        <w:rPr>
          <w:rFonts w:hint="eastAsia" w:ascii="宋体" w:hAnsi="Times New Roman" w:eastAsia="宋体" w:cs="Times New Roman"/>
          <w:b/>
          <w:bCs/>
          <w:szCs w:val="20"/>
        </w:rPr>
        <w:t>进行整体响应，任何只对</w:t>
      </w:r>
      <w:r>
        <w:rPr>
          <w:rFonts w:hint="eastAsia" w:ascii="宋体" w:hAnsi="宋体" w:eastAsia="宋体" w:cs="Times New Roman"/>
          <w:b/>
          <w:bCs/>
          <w:szCs w:val="21"/>
        </w:rPr>
        <w:t>采购标的或服务内容</w:t>
      </w:r>
      <w:r>
        <w:rPr>
          <w:rFonts w:hint="eastAsia" w:ascii="宋体" w:hAnsi="Times New Roman" w:eastAsia="宋体" w:cs="Times New Roman"/>
          <w:b/>
          <w:bCs/>
          <w:szCs w:val="20"/>
        </w:rPr>
        <w:t>其中一部</w:t>
      </w:r>
      <w:r>
        <w:rPr>
          <w:rFonts w:hint="eastAsia" w:ascii="宋体" w:hAnsi="Times New Roman" w:eastAsia="宋体" w:cs="Times New Roman"/>
          <w:b/>
          <w:bCs/>
          <w:color w:val="auto"/>
          <w:szCs w:val="20"/>
          <w:highlight w:val="none"/>
        </w:rPr>
        <w:t>分内容进行的响应都被视为无效投标。</w:t>
      </w:r>
    </w:p>
    <w:p w14:paraId="7F03E840">
      <w:pPr>
        <w:numPr>
          <w:ilvl w:val="0"/>
          <w:numId w:val="1"/>
        </w:numPr>
        <w:snapToGrid w:val="0"/>
        <w:spacing w:line="360" w:lineRule="auto"/>
        <w:ind w:left="422" w:hanging="422" w:hangingChars="200"/>
        <w:rPr>
          <w:rFonts w:ascii="宋体" w:hAnsi="Times New Roman" w:eastAsia="宋体" w:cs="Times New Roman"/>
          <w:b/>
          <w:bCs/>
          <w:color w:val="auto"/>
          <w:szCs w:val="20"/>
          <w:highlight w:val="none"/>
        </w:rPr>
      </w:pPr>
      <w:r>
        <w:rPr>
          <w:rFonts w:hint="eastAsia" w:ascii="宋体" w:hAnsi="宋体" w:eastAsia="宋体" w:cs="Times New Roman"/>
          <w:b/>
          <w:bCs/>
          <w:color w:val="auto"/>
          <w:szCs w:val="21"/>
          <w:highlight w:val="none"/>
        </w:rPr>
        <w:t>用户需求书中打</w:t>
      </w:r>
      <w:r>
        <w:rPr>
          <w:rFonts w:ascii="宋体" w:hAnsi="宋体" w:eastAsia="宋体" w:cs="Times New Roman"/>
          <w:b/>
          <w:bCs/>
          <w:color w:val="auto"/>
          <w:szCs w:val="21"/>
          <w:highlight w:val="none"/>
        </w:rPr>
        <w:t>“</w:t>
      </w:r>
      <w:r>
        <w:rPr>
          <w:rFonts w:hint="eastAsia" w:ascii="宋体" w:hAnsi="宋体" w:eastAsia="宋体" w:cs="Times New Roman"/>
          <w:b/>
          <w:bCs/>
          <w:color w:val="auto"/>
          <w:szCs w:val="21"/>
          <w:highlight w:val="none"/>
        </w:rPr>
        <w:t>★</w:t>
      </w:r>
      <w:r>
        <w:rPr>
          <w:rFonts w:ascii="宋体" w:hAnsi="宋体" w:eastAsia="宋体" w:cs="Times New Roman"/>
          <w:b/>
          <w:bCs/>
          <w:color w:val="auto"/>
          <w:szCs w:val="21"/>
          <w:highlight w:val="none"/>
        </w:rPr>
        <w:t>”</w:t>
      </w:r>
      <w:r>
        <w:rPr>
          <w:rFonts w:hint="eastAsia" w:ascii="宋体" w:hAnsi="宋体" w:eastAsia="宋体" w:cs="Times New Roman"/>
          <w:b/>
          <w:bCs/>
          <w:color w:val="auto"/>
          <w:szCs w:val="21"/>
          <w:highlight w:val="none"/>
        </w:rPr>
        <w:t>号条款为实质性条款，有任何一条负偏离则导致无效投标。</w:t>
      </w:r>
    </w:p>
    <w:p w14:paraId="3003CCBD">
      <w:pPr>
        <w:numPr>
          <w:ilvl w:val="0"/>
          <w:numId w:val="1"/>
        </w:numPr>
        <w:snapToGrid w:val="0"/>
        <w:spacing w:line="360" w:lineRule="auto"/>
        <w:ind w:left="422" w:hanging="422" w:hangingChars="200"/>
        <w:rPr>
          <w:rFonts w:hint="eastAsia" w:ascii="宋体" w:hAnsi="Times New Roman" w:eastAsia="宋体" w:cs="Times New Roman"/>
          <w:b/>
          <w:bCs/>
          <w:color w:val="auto"/>
          <w:szCs w:val="20"/>
          <w:highlight w:val="none"/>
        </w:rPr>
      </w:pPr>
      <w:r>
        <w:rPr>
          <w:rFonts w:hint="eastAsia" w:ascii="宋体" w:hAnsi="Times New Roman" w:eastAsia="宋体" w:cs="Times New Roman"/>
          <w:b/>
          <w:bCs/>
          <w:color w:val="auto"/>
          <w:szCs w:val="20"/>
          <w:highlight w:val="none"/>
        </w:rPr>
        <w:t>用户</w:t>
      </w:r>
      <w:r>
        <w:rPr>
          <w:rFonts w:hint="eastAsia" w:ascii="宋体" w:hAnsi="宋体" w:eastAsia="宋体" w:cs="Times New Roman"/>
          <w:b/>
          <w:bCs/>
          <w:color w:val="auto"/>
          <w:szCs w:val="21"/>
          <w:highlight w:val="none"/>
        </w:rPr>
        <w:t>需求</w:t>
      </w:r>
      <w:r>
        <w:rPr>
          <w:rFonts w:hint="eastAsia" w:ascii="宋体" w:hAnsi="Times New Roman" w:eastAsia="宋体" w:cs="Times New Roman"/>
          <w:b/>
          <w:bCs/>
          <w:color w:val="auto"/>
          <w:szCs w:val="20"/>
          <w:highlight w:val="none"/>
        </w:rPr>
        <w:t>书中打</w:t>
      </w:r>
      <w:r>
        <w:rPr>
          <w:rFonts w:ascii="宋体" w:hAnsi="Times New Roman" w:eastAsia="宋体" w:cs="Times New Roman"/>
          <w:b/>
          <w:bCs/>
          <w:color w:val="auto"/>
          <w:szCs w:val="20"/>
          <w:highlight w:val="none"/>
        </w:rPr>
        <w:t>“</w:t>
      </w:r>
      <w:r>
        <w:rPr>
          <w:rFonts w:hint="eastAsia" w:ascii="宋体" w:hAnsi="Times New Roman" w:eastAsia="宋体" w:cs="Times New Roman"/>
          <w:b/>
          <w:bCs/>
          <w:color w:val="auto"/>
          <w:szCs w:val="20"/>
          <w:highlight w:val="none"/>
        </w:rPr>
        <w:t>▲</w:t>
      </w:r>
      <w:r>
        <w:rPr>
          <w:rFonts w:ascii="宋体" w:hAnsi="Times New Roman" w:eastAsia="宋体" w:cs="Times New Roman"/>
          <w:b/>
          <w:bCs/>
          <w:color w:val="auto"/>
          <w:szCs w:val="20"/>
          <w:highlight w:val="none"/>
        </w:rPr>
        <w:t>”</w:t>
      </w:r>
      <w:r>
        <w:rPr>
          <w:rFonts w:hint="eastAsia" w:ascii="宋体" w:hAnsi="Times New Roman" w:eastAsia="宋体" w:cs="Times New Roman"/>
          <w:b/>
          <w:bCs/>
          <w:color w:val="auto"/>
          <w:szCs w:val="20"/>
          <w:highlight w:val="none"/>
        </w:rPr>
        <w:t>号条款为重要技术参数，但不作为无效投标条款。</w:t>
      </w:r>
    </w:p>
    <w:p w14:paraId="52124726">
      <w:pPr>
        <w:numPr>
          <w:ilvl w:val="0"/>
          <w:numId w:val="1"/>
        </w:numPr>
        <w:snapToGrid w:val="0"/>
        <w:spacing w:line="360" w:lineRule="auto"/>
        <w:ind w:left="422" w:hanging="422" w:hangingChars="200"/>
        <w:rPr>
          <w:rFonts w:hint="eastAsia" w:ascii="Times New Roman" w:hAnsi="Times New Roman" w:eastAsia="宋体" w:cs="Times New Roman"/>
          <w:lang w:val="en-US" w:eastAsia="zh-CN"/>
        </w:rPr>
      </w:pPr>
      <w:r>
        <w:rPr>
          <w:rFonts w:hint="eastAsia" w:ascii="宋体" w:hAnsi="宋体" w:eastAsia="宋体" w:cs="Times New Roman"/>
          <w:b/>
          <w:bCs/>
          <w:color w:val="auto"/>
          <w:szCs w:val="21"/>
          <w:highlight w:val="none"/>
        </w:rPr>
        <w:t>用户需求书中打</w:t>
      </w:r>
      <w:r>
        <w:rPr>
          <w:rFonts w:ascii="宋体" w:hAnsi="宋体" w:eastAsia="宋体" w:cs="Times New Roman"/>
          <w:b/>
          <w:bCs/>
          <w:color w:val="auto"/>
          <w:szCs w:val="21"/>
          <w:highlight w:val="none"/>
        </w:rPr>
        <w:t>“</w:t>
      </w:r>
      <w:r>
        <w:rPr>
          <w:rFonts w:hint="eastAsia" w:ascii="宋体" w:hAnsi="宋体" w:eastAsia="宋体" w:cs="Times New Roman"/>
          <w:b/>
          <w:bCs/>
          <w:color w:val="auto"/>
          <w:szCs w:val="21"/>
          <w:highlight w:val="none"/>
        </w:rPr>
        <w:t>◆</w:t>
      </w:r>
      <w:r>
        <w:rPr>
          <w:rFonts w:ascii="宋体" w:hAnsi="宋体" w:eastAsia="宋体" w:cs="Times New Roman"/>
          <w:b/>
          <w:bCs/>
          <w:color w:val="auto"/>
          <w:szCs w:val="21"/>
          <w:highlight w:val="none"/>
        </w:rPr>
        <w:t>”</w:t>
      </w:r>
      <w:r>
        <w:rPr>
          <w:rFonts w:hint="eastAsia" w:ascii="宋体" w:hAnsi="宋体" w:eastAsia="宋体" w:cs="Times New Roman"/>
          <w:b/>
          <w:bCs/>
          <w:color w:val="auto"/>
          <w:szCs w:val="21"/>
          <w:highlight w:val="none"/>
        </w:rPr>
        <w:t>号的为采购的主要标的，投标人应在《深圳市中医肛肠医院（福田）报价表》中清晰列明“服务内容、单价、数量”。</w:t>
      </w:r>
    </w:p>
    <w:p w14:paraId="7E6D8A2C">
      <w:pPr>
        <w:widowControl w:val="0"/>
        <w:numPr>
          <w:ilvl w:val="0"/>
          <w:numId w:val="2"/>
        </w:numPr>
        <w:tabs>
          <w:tab w:val="left" w:pos="540"/>
        </w:tabs>
        <w:adjustRightInd w:val="0"/>
        <w:snapToGrid w:val="0"/>
        <w:spacing w:line="360" w:lineRule="auto"/>
        <w:ind w:left="420" w:hanging="420"/>
        <w:jc w:val="both"/>
        <w:rPr>
          <w:rFonts w:ascii="宋体" w:hAnsi="宋体" w:eastAsia="宋体" w:cs="Courier New"/>
          <w:b/>
          <w:color w:val="auto"/>
          <w:kern w:val="2"/>
          <w:sz w:val="21"/>
          <w:szCs w:val="21"/>
          <w:lang w:val="en-US" w:eastAsia="zh-CN" w:bidi="ar-SA"/>
        </w:rPr>
      </w:pPr>
      <w:r>
        <w:rPr>
          <w:rFonts w:hint="eastAsia" w:ascii="宋体" w:hAnsi="宋体" w:eastAsia="宋体" w:cs="Courier New"/>
          <w:b/>
          <w:color w:val="auto"/>
          <w:kern w:val="2"/>
          <w:sz w:val="21"/>
          <w:szCs w:val="21"/>
          <w:lang w:val="en-US" w:eastAsia="zh-CN" w:bidi="ar-SA"/>
        </w:rPr>
        <w:t>项目一览表：</w:t>
      </w:r>
    </w:p>
    <w:tbl>
      <w:tblPr>
        <w:tblStyle w:val="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901"/>
        <w:gridCol w:w="2143"/>
        <w:gridCol w:w="2187"/>
        <w:gridCol w:w="1439"/>
      </w:tblGrid>
      <w:tr w14:paraId="48C9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083" w:type="pct"/>
            <w:shd w:val="clear" w:color="auto" w:fill="EEECE1"/>
            <w:vAlign w:val="center"/>
          </w:tcPr>
          <w:p w14:paraId="0F1AEEF1">
            <w:pPr>
              <w:jc w:val="center"/>
              <w:rPr>
                <w:rFonts w:ascii="宋体" w:hAnsi="Times New Roman" w:eastAsia="宋体" w:cs="Times New Roman"/>
                <w:b/>
                <w:color w:val="auto"/>
                <w:szCs w:val="21"/>
              </w:rPr>
            </w:pPr>
            <w:r>
              <w:rPr>
                <w:rFonts w:hint="eastAsia" w:ascii="宋体" w:hAnsi="宋体" w:eastAsia="宋体" w:cs="宋体"/>
                <w:b/>
                <w:color w:val="auto"/>
                <w:szCs w:val="21"/>
              </w:rPr>
              <w:t>采购内容</w:t>
            </w:r>
          </w:p>
        </w:tc>
        <w:tc>
          <w:tcPr>
            <w:tcW w:w="529" w:type="pct"/>
            <w:shd w:val="clear" w:color="auto" w:fill="EEECE1"/>
            <w:vAlign w:val="center"/>
          </w:tcPr>
          <w:p w14:paraId="09431433">
            <w:pPr>
              <w:jc w:val="center"/>
              <w:rPr>
                <w:rFonts w:ascii="宋体" w:hAnsi="Times New Roman" w:eastAsia="宋体" w:cs="Times New Roman"/>
                <w:b/>
                <w:color w:val="auto"/>
                <w:szCs w:val="21"/>
              </w:rPr>
            </w:pPr>
            <w:r>
              <w:rPr>
                <w:rFonts w:hint="eastAsia" w:ascii="宋体" w:hAnsi="宋体" w:eastAsia="宋体" w:cs="宋体"/>
                <w:b/>
                <w:color w:val="auto"/>
                <w:szCs w:val="21"/>
              </w:rPr>
              <w:t>数量</w:t>
            </w:r>
          </w:p>
        </w:tc>
        <w:tc>
          <w:tcPr>
            <w:tcW w:w="1258" w:type="pct"/>
            <w:shd w:val="clear" w:color="auto" w:fill="EEECE1"/>
            <w:vAlign w:val="center"/>
          </w:tcPr>
          <w:p w14:paraId="78E36D75">
            <w:pPr>
              <w:jc w:val="center"/>
              <w:rPr>
                <w:rFonts w:ascii="宋体" w:hAnsi="Times New Roman" w:eastAsia="宋体" w:cs="Times New Roman"/>
                <w:b/>
                <w:color w:val="auto"/>
                <w:szCs w:val="21"/>
              </w:rPr>
            </w:pPr>
            <w:r>
              <w:rPr>
                <w:rFonts w:hint="eastAsia" w:ascii="宋体" w:hAnsi="Times New Roman" w:eastAsia="宋体" w:cs="Times New Roman"/>
                <w:b/>
                <w:color w:val="auto"/>
                <w:szCs w:val="21"/>
              </w:rPr>
              <w:t>预算金额</w:t>
            </w:r>
          </w:p>
        </w:tc>
        <w:tc>
          <w:tcPr>
            <w:tcW w:w="1284" w:type="pct"/>
            <w:shd w:val="clear" w:color="auto" w:fill="EEECE1"/>
            <w:vAlign w:val="center"/>
          </w:tcPr>
          <w:p w14:paraId="1ADAB482">
            <w:pPr>
              <w:jc w:val="center"/>
              <w:rPr>
                <w:rFonts w:ascii="宋体" w:hAnsi="Times New Roman" w:eastAsia="宋体" w:cs="Times New Roman"/>
                <w:b/>
                <w:color w:val="auto"/>
                <w:szCs w:val="21"/>
              </w:rPr>
            </w:pPr>
            <w:r>
              <w:rPr>
                <w:rFonts w:hint="eastAsia" w:ascii="宋体" w:hAnsi="Times New Roman" w:eastAsia="宋体" w:cs="Times New Roman"/>
                <w:b/>
                <w:color w:val="auto"/>
                <w:szCs w:val="21"/>
              </w:rPr>
              <w:t>最高限价</w:t>
            </w:r>
          </w:p>
        </w:tc>
        <w:tc>
          <w:tcPr>
            <w:tcW w:w="844" w:type="pct"/>
            <w:shd w:val="clear" w:color="auto" w:fill="EEECE1"/>
            <w:vAlign w:val="center"/>
          </w:tcPr>
          <w:p w14:paraId="7C54D1EA">
            <w:pPr>
              <w:jc w:val="center"/>
              <w:rPr>
                <w:rFonts w:ascii="宋体" w:hAnsi="Times New Roman" w:eastAsia="宋体" w:cs="Times New Roman"/>
                <w:b/>
                <w:color w:val="auto"/>
                <w:szCs w:val="21"/>
              </w:rPr>
            </w:pPr>
            <w:r>
              <w:rPr>
                <w:rFonts w:hint="eastAsia" w:ascii="宋体" w:hAnsi="Times New Roman" w:eastAsia="宋体" w:cs="Times New Roman"/>
                <w:b/>
                <w:color w:val="auto"/>
                <w:szCs w:val="21"/>
              </w:rPr>
              <w:t>所属行业</w:t>
            </w:r>
          </w:p>
        </w:tc>
      </w:tr>
      <w:tr w14:paraId="5E89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1083" w:type="pct"/>
            <w:vAlign w:val="center"/>
          </w:tcPr>
          <w:p w14:paraId="36BA70A4">
            <w:pPr>
              <w:jc w:val="center"/>
              <w:rPr>
                <w:rFonts w:ascii="宋体" w:hAnsi="Times New Roman" w:eastAsia="宋体" w:cs="Times New Roman"/>
                <w:bCs/>
                <w:color w:val="auto"/>
                <w:szCs w:val="21"/>
              </w:rPr>
            </w:pPr>
            <w:r>
              <w:rPr>
                <w:rFonts w:hint="eastAsia" w:ascii="宋体" w:hAnsi="宋体" w:eastAsia="宋体" w:cs="Times New Roman"/>
                <w:b/>
                <w:bCs/>
                <w:color w:val="auto"/>
                <w:szCs w:val="21"/>
                <w:highlight w:val="none"/>
              </w:rPr>
              <w:t>◆</w:t>
            </w:r>
            <w:r>
              <w:rPr>
                <w:rFonts w:hint="eastAsia" w:ascii="宋体" w:hAnsi="宋体" w:eastAsia="宋体" w:cs="宋体"/>
                <w:color w:val="auto"/>
                <w:lang w:eastAsia="zh-CN"/>
              </w:rPr>
              <w:t>医疗责任保险</w:t>
            </w:r>
          </w:p>
        </w:tc>
        <w:tc>
          <w:tcPr>
            <w:tcW w:w="529" w:type="pct"/>
            <w:vAlign w:val="center"/>
          </w:tcPr>
          <w:p w14:paraId="0BDD54F5">
            <w:pPr>
              <w:jc w:val="center"/>
              <w:rPr>
                <w:rFonts w:ascii="宋体" w:hAnsi="Times New Roman" w:eastAsia="宋体" w:cs="Times New Roman"/>
                <w:bCs/>
                <w:color w:val="auto"/>
                <w:szCs w:val="21"/>
              </w:rPr>
            </w:pPr>
            <w:r>
              <w:rPr>
                <w:rFonts w:hint="eastAsia" w:ascii="宋体" w:hAnsi="宋体" w:eastAsia="宋体" w:cs="宋体"/>
                <w:bCs/>
                <w:color w:val="auto"/>
                <w:szCs w:val="21"/>
                <w:lang w:val="en-US" w:eastAsia="zh-CN"/>
              </w:rPr>
              <w:t>1项</w:t>
            </w:r>
          </w:p>
        </w:tc>
        <w:tc>
          <w:tcPr>
            <w:tcW w:w="1258" w:type="pct"/>
            <w:vAlign w:val="center"/>
          </w:tcPr>
          <w:p w14:paraId="304D8451">
            <w:pPr>
              <w:keepNext/>
              <w:widowControl w:val="0"/>
              <w:adjustRightInd w:val="0"/>
              <w:spacing w:before="60" w:after="60" w:line="240" w:lineRule="auto"/>
              <w:ind w:firstLine="120"/>
              <w:jc w:val="center"/>
              <w:textAlignment w:val="center"/>
              <w:rPr>
                <w:rFonts w:ascii="Times New Roman" w:hAnsi="Times New Roman" w:eastAsia="宋体" w:cs="Times New Roman"/>
                <w:snapToGrid/>
                <w:color w:val="auto"/>
                <w:spacing w:val="0"/>
                <w:kern w:val="2"/>
                <w:sz w:val="21"/>
                <w:szCs w:val="24"/>
                <w:lang w:val="en-US" w:eastAsia="zh-CN" w:bidi="ar-SA"/>
              </w:rPr>
            </w:pPr>
            <w:r>
              <w:rPr>
                <w:rFonts w:hint="eastAsia" w:ascii="宋体" w:hAnsi="宋体" w:eastAsia="宋体" w:cs="宋体"/>
                <w:snapToGrid/>
                <w:color w:val="auto"/>
                <w:spacing w:val="0"/>
                <w:kern w:val="2"/>
                <w:sz w:val="21"/>
                <w:szCs w:val="21"/>
                <w:lang w:val="en-US" w:eastAsia="zh-CN" w:bidi="ar-SA"/>
              </w:rPr>
              <w:t>人民币150,000.00元</w:t>
            </w:r>
          </w:p>
        </w:tc>
        <w:tc>
          <w:tcPr>
            <w:tcW w:w="1284" w:type="pct"/>
            <w:vAlign w:val="center"/>
          </w:tcPr>
          <w:p w14:paraId="643FB00A">
            <w:pPr>
              <w:keepNext/>
              <w:widowControl w:val="0"/>
              <w:adjustRightInd w:val="0"/>
              <w:spacing w:before="60" w:after="60" w:line="240" w:lineRule="auto"/>
              <w:ind w:firstLine="120"/>
              <w:jc w:val="center"/>
              <w:textAlignment w:val="center"/>
              <w:rPr>
                <w:rFonts w:ascii="Times New Roman" w:hAnsi="Times New Roman" w:eastAsia="宋体" w:cs="Times New Roman"/>
                <w:snapToGrid/>
                <w:color w:val="auto"/>
                <w:spacing w:val="0"/>
                <w:kern w:val="2"/>
                <w:sz w:val="21"/>
                <w:szCs w:val="24"/>
                <w:lang w:val="en-US" w:eastAsia="zh-CN" w:bidi="ar-SA"/>
              </w:rPr>
            </w:pPr>
            <w:r>
              <w:rPr>
                <w:rFonts w:hint="eastAsia" w:ascii="宋体" w:hAnsi="宋体" w:eastAsia="宋体" w:cs="宋体"/>
                <w:snapToGrid/>
                <w:color w:val="auto"/>
                <w:spacing w:val="0"/>
                <w:kern w:val="2"/>
                <w:sz w:val="21"/>
                <w:szCs w:val="21"/>
                <w:lang w:val="en-US" w:eastAsia="zh-CN" w:bidi="ar-SA"/>
              </w:rPr>
              <w:t>人民币150,000.00元</w:t>
            </w:r>
          </w:p>
        </w:tc>
        <w:tc>
          <w:tcPr>
            <w:tcW w:w="844" w:type="pct"/>
            <w:vAlign w:val="center"/>
          </w:tcPr>
          <w:p w14:paraId="7D1E092C">
            <w:pPr>
              <w:keepNext/>
              <w:widowControl w:val="0"/>
              <w:adjustRightInd w:val="0"/>
              <w:spacing w:before="60" w:after="60" w:line="240" w:lineRule="auto"/>
              <w:jc w:val="center"/>
              <w:textAlignment w:val="center"/>
              <w:rPr>
                <w:rFonts w:hint="eastAsia" w:ascii="宋体" w:hAnsi="宋体" w:eastAsia="宋体" w:cs="Times New Roman"/>
                <w:snapToGrid/>
                <w:color w:val="auto"/>
                <w:spacing w:val="0"/>
                <w:kern w:val="2"/>
                <w:sz w:val="21"/>
                <w:szCs w:val="21"/>
                <w:lang w:val="en-US" w:eastAsia="zh-CN" w:bidi="ar-SA"/>
              </w:rPr>
            </w:pPr>
            <w:r>
              <w:rPr>
                <w:rFonts w:hint="eastAsia" w:ascii="宋体" w:hAnsi="宋体" w:eastAsia="宋体" w:cs="Times New Roman"/>
                <w:snapToGrid/>
                <w:color w:val="auto"/>
                <w:spacing w:val="0"/>
                <w:kern w:val="2"/>
                <w:sz w:val="21"/>
                <w:szCs w:val="21"/>
                <w:lang w:val="en-US" w:eastAsia="zh-CN" w:bidi="ar-SA"/>
              </w:rPr>
              <w:t>保险业</w:t>
            </w:r>
          </w:p>
        </w:tc>
      </w:tr>
    </w:tbl>
    <w:p w14:paraId="2CE67F90">
      <w:pPr>
        <w:keepNext w:val="0"/>
        <w:keepLines w:val="0"/>
        <w:pageBreakBefore w:val="0"/>
        <w:widowControl w:val="0"/>
        <w:numPr>
          <w:ilvl w:val="0"/>
          <w:numId w:val="2"/>
        </w:numPr>
        <w:tabs>
          <w:tab w:val="left" w:pos="540"/>
        </w:tabs>
        <w:kinsoku/>
        <w:wordWrap/>
        <w:overflowPunct/>
        <w:topLinePunct w:val="0"/>
        <w:autoSpaceDE/>
        <w:autoSpaceDN/>
        <w:bidi w:val="0"/>
        <w:adjustRightInd w:val="0"/>
        <w:snapToGrid w:val="0"/>
        <w:spacing w:before="0" w:beforeLines="100" w:line="360" w:lineRule="auto"/>
        <w:ind w:left="420" w:hanging="420"/>
        <w:jc w:val="both"/>
        <w:textAlignment w:val="auto"/>
        <w:rPr>
          <w:rFonts w:ascii="宋体 (正文)" w:hAnsi="宋体 (正文)" w:eastAsia="宋体 (正文)" w:cs="宋体 (正文)"/>
          <w:color w:val="auto"/>
          <w:szCs w:val="21"/>
        </w:rPr>
      </w:pPr>
      <w:r>
        <w:rPr>
          <w:rFonts w:hint="eastAsia" w:ascii="宋体" w:hAnsi="宋体" w:eastAsia="宋体" w:cs="Courier New"/>
          <w:b/>
          <w:color w:val="auto"/>
          <w:kern w:val="2"/>
          <w:sz w:val="21"/>
          <w:szCs w:val="21"/>
          <w:lang w:val="en-US" w:eastAsia="zh-CN" w:bidi="ar-SA"/>
        </w:rPr>
        <w:t>具体参数要求/服务要求：</w:t>
      </w:r>
    </w:p>
    <w:p w14:paraId="2480C1DC">
      <w:pPr>
        <w:pageBreakBefore w:val="0"/>
        <w:shd w:val="clear"/>
        <w:kinsoku/>
        <w:wordWrap/>
        <w:overflowPunct/>
        <w:topLinePunct w:val="0"/>
        <w:bidi w:val="0"/>
        <w:snapToGrid/>
        <w:spacing w:line="400" w:lineRule="exact"/>
        <w:ind w:firstLine="420" w:firstLineChars="200"/>
        <w:jc w:val="left"/>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为了快速高效地处理医疗纠纷，共建和谐的医患关系，</w:t>
      </w:r>
      <w:r>
        <w:rPr>
          <w:rFonts w:hint="eastAsia" w:ascii="宋体 (正文)" w:hAnsi="宋体 (正文)" w:eastAsia="宋体 (正文)" w:cs="宋体 (正文)"/>
          <w:color w:val="auto"/>
          <w:szCs w:val="21"/>
          <w:lang w:val="en-US" w:eastAsia="zh-CN"/>
        </w:rPr>
        <w:t>我院需要采购</w:t>
      </w:r>
      <w:r>
        <w:rPr>
          <w:rFonts w:hint="eastAsia" w:ascii="宋体 (正文)" w:hAnsi="宋体 (正文)" w:eastAsia="宋体 (正文)" w:cs="宋体 (正文)"/>
          <w:color w:val="auto"/>
          <w:szCs w:val="21"/>
        </w:rPr>
        <w:t>医疗责任保险服务的</w:t>
      </w:r>
      <w:r>
        <w:rPr>
          <w:rFonts w:hint="eastAsia" w:ascii="宋体 (正文)" w:hAnsi="宋体 (正文)" w:eastAsia="宋体 (正文)" w:cs="宋体 (正文)"/>
          <w:color w:val="auto"/>
          <w:szCs w:val="21"/>
          <w:lang w:eastAsia="zh-CN"/>
        </w:rPr>
        <w:t>，</w:t>
      </w:r>
      <w:r>
        <w:rPr>
          <w:rFonts w:hint="eastAsia" w:ascii="宋体 (正文)" w:hAnsi="宋体 (正文)" w:eastAsia="宋体 (正文)" w:cs="宋体 (正文)"/>
          <w:color w:val="auto"/>
          <w:szCs w:val="21"/>
          <w:lang w:val="en-US" w:eastAsia="zh-CN"/>
        </w:rPr>
        <w:t>参考往年医疗责任险保险协议，提出需求如下</w:t>
      </w:r>
      <w:r>
        <w:rPr>
          <w:rFonts w:hint="eastAsia" w:ascii="宋体 (正文)" w:hAnsi="宋体 (正文)" w:eastAsia="宋体 (正文)" w:cs="宋体 (正文)"/>
          <w:color w:val="auto"/>
          <w:szCs w:val="21"/>
        </w:rPr>
        <w:t>。</w:t>
      </w:r>
      <w:bookmarkStart w:id="1" w:name="_Toc21406"/>
    </w:p>
    <w:bookmarkEnd w:id="1"/>
    <w:p w14:paraId="1D8ED2FE">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w:hAnsi="宋体" w:eastAsia="宋体" w:cs="Times New Roman"/>
          <w:b/>
          <w:bCs/>
          <w:color w:val="auto"/>
          <w:szCs w:val="21"/>
          <w:highlight w:val="none"/>
        </w:rPr>
        <w:t>★</w:t>
      </w:r>
      <w:r>
        <w:rPr>
          <w:rFonts w:hint="eastAsia" w:ascii="宋体 (正文)" w:hAnsi="宋体 (正文)" w:eastAsia="宋体 (正文)" w:cs="宋体 (正文)"/>
          <w:b/>
          <w:bCs/>
          <w:color w:val="auto"/>
          <w:kern w:val="2"/>
          <w:sz w:val="21"/>
          <w:szCs w:val="21"/>
          <w:lang w:val="en-US" w:eastAsia="zh-CN" w:bidi="ar-SA"/>
        </w:rPr>
        <w:t>一、</w:t>
      </w:r>
      <w:r>
        <w:rPr>
          <w:rFonts w:hint="eastAsia" w:ascii="宋体 (正文)" w:hAnsi="宋体 (正文)" w:eastAsia="宋体 (正文)" w:cs="宋体 (正文)"/>
          <w:b/>
          <w:bCs/>
          <w:color w:val="auto"/>
          <w:szCs w:val="21"/>
        </w:rPr>
        <w:t>被保险人</w:t>
      </w:r>
    </w:p>
    <w:p w14:paraId="51A5B01D">
      <w:pPr>
        <w:pageBreakBefore w:val="0"/>
        <w:shd w:val="clear"/>
        <w:kinsoku/>
        <w:wordWrap/>
        <w:overflowPunct/>
        <w:topLinePunct w:val="0"/>
        <w:bidi w:val="0"/>
        <w:snapToGrid/>
        <w:spacing w:line="400" w:lineRule="exact"/>
        <w:ind w:firstLine="420" w:firstLineChars="200"/>
        <w:textAlignment w:val="auto"/>
        <w:rPr>
          <w:rFonts w:hint="eastAsia" w:ascii="宋体 (正文)" w:hAnsi="宋体 (正文)" w:eastAsia="宋体 (正文)" w:cs="宋体 (正文)"/>
          <w:color w:val="auto"/>
          <w:szCs w:val="21"/>
        </w:rPr>
      </w:pPr>
      <w:r>
        <w:rPr>
          <w:rFonts w:hint="eastAsia" w:ascii="宋体 (正文)" w:hAnsi="宋体 (正文)" w:eastAsia="宋体 (正文)" w:cs="宋体 (正文)"/>
          <w:color w:val="auto"/>
          <w:szCs w:val="21"/>
        </w:rPr>
        <w:t>深圳市中医肛肠医院（福田）及其相关工作人员</w:t>
      </w:r>
    </w:p>
    <w:p w14:paraId="47D7C0D8">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hint="eastAsia" w:ascii="宋体 (正文)" w:hAnsi="宋体 (正文)" w:eastAsia="宋体 (正文)" w:cs="宋体 (正文)"/>
          <w:b/>
          <w:bCs/>
          <w:color w:val="auto"/>
          <w:szCs w:val="21"/>
          <w:lang w:val="en-US" w:eastAsia="zh-CN"/>
        </w:rPr>
      </w:pPr>
      <w:r>
        <w:rPr>
          <w:rFonts w:hint="eastAsia" w:ascii="宋体 (正文)" w:hAnsi="宋体 (正文)" w:eastAsia="宋体 (正文)" w:cs="宋体 (正文)"/>
          <w:b/>
          <w:bCs/>
          <w:color w:val="auto"/>
          <w:kern w:val="2"/>
          <w:sz w:val="21"/>
          <w:szCs w:val="21"/>
          <w:lang w:val="en-US" w:eastAsia="zh-CN" w:bidi="ar-SA"/>
        </w:rPr>
        <w:t>二、</w:t>
      </w:r>
      <w:r>
        <w:rPr>
          <w:rFonts w:hint="eastAsia" w:ascii="宋体 (正文)" w:hAnsi="宋体 (正文)" w:eastAsia="宋体 (正文)" w:cs="宋体 (正文)"/>
          <w:b/>
          <w:bCs/>
          <w:color w:val="auto"/>
          <w:szCs w:val="21"/>
          <w:lang w:val="en-US" w:eastAsia="zh-CN"/>
        </w:rPr>
        <w:t>保险经纪人</w:t>
      </w:r>
    </w:p>
    <w:p w14:paraId="3D43A560">
      <w:pPr>
        <w:pageBreakBefore w:val="0"/>
        <w:shd w:val="clear"/>
        <w:kinsoku/>
        <w:wordWrap/>
        <w:overflowPunct/>
        <w:topLinePunct w:val="0"/>
        <w:bidi w:val="0"/>
        <w:snapToGrid/>
        <w:spacing w:line="400" w:lineRule="exact"/>
        <w:ind w:firstLine="420" w:firstLineChars="200"/>
        <w:textAlignment w:val="auto"/>
        <w:rPr>
          <w:rFonts w:ascii="Times New Roman" w:hAnsi="Times New Roman" w:eastAsia="宋体" w:cs="Times New Roman"/>
        </w:rPr>
      </w:pPr>
      <w:r>
        <w:rPr>
          <w:rFonts w:hint="eastAsia" w:ascii="宋体" w:hAnsi="宋体" w:eastAsia="宋体" w:cs="宋体"/>
          <w:b w:val="0"/>
          <w:bCs/>
          <w:color w:val="auto"/>
          <w:kern w:val="2"/>
          <w:sz w:val="21"/>
          <w:szCs w:val="24"/>
          <w:lang w:val="en-US" w:eastAsia="zh-CN" w:bidi="ar-SA"/>
        </w:rPr>
        <w:t>友太安保险经纪</w:t>
      </w:r>
      <w:r>
        <w:rPr>
          <w:rFonts w:hint="eastAsia" w:ascii="宋体 (正文)" w:hAnsi="宋体 (正文)" w:eastAsia="宋体 (正文)" w:cs="宋体 (正文)"/>
          <w:color w:val="auto"/>
          <w:szCs w:val="21"/>
          <w:lang w:val="en-US" w:eastAsia="zh-CN"/>
        </w:rPr>
        <w:t>有限公司</w:t>
      </w:r>
    </w:p>
    <w:p w14:paraId="2DB6D656">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w:hAnsi="宋体" w:eastAsia="宋体" w:cs="Times New Roman"/>
          <w:b/>
          <w:bCs/>
          <w:color w:val="auto"/>
          <w:szCs w:val="21"/>
          <w:highlight w:val="none"/>
        </w:rPr>
        <w:t>★</w:t>
      </w:r>
      <w:r>
        <w:rPr>
          <w:rFonts w:hint="eastAsia" w:ascii="宋体 (正文)" w:hAnsi="宋体 (正文)" w:eastAsia="宋体 (正文)" w:cs="宋体 (正文)"/>
          <w:b/>
          <w:bCs/>
          <w:color w:val="auto"/>
          <w:kern w:val="2"/>
          <w:sz w:val="21"/>
          <w:szCs w:val="21"/>
          <w:lang w:val="en-US" w:eastAsia="zh-CN" w:bidi="ar-SA"/>
        </w:rPr>
        <w:t>三、</w:t>
      </w:r>
      <w:r>
        <w:rPr>
          <w:rFonts w:hint="eastAsia" w:ascii="宋体 (正文)" w:hAnsi="宋体 (正文)" w:eastAsia="宋体 (正文)" w:cs="宋体 (正文)"/>
          <w:b/>
          <w:bCs/>
          <w:color w:val="auto"/>
          <w:szCs w:val="21"/>
        </w:rPr>
        <w:t>业务性质</w:t>
      </w:r>
    </w:p>
    <w:p w14:paraId="624BF304">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从事医疗服务及其相关业务。</w:t>
      </w:r>
      <w:bookmarkStart w:id="2" w:name="_Toc14128"/>
    </w:p>
    <w:p w14:paraId="6FEE59FA">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kern w:val="2"/>
          <w:sz w:val="21"/>
          <w:szCs w:val="21"/>
          <w:lang w:val="en-US" w:eastAsia="zh-CN" w:bidi="ar-SA"/>
        </w:rPr>
        <w:t>四、</w:t>
      </w:r>
      <w:r>
        <w:rPr>
          <w:rFonts w:hint="eastAsia" w:ascii="宋体 (正文)" w:hAnsi="宋体 (正文)" w:eastAsia="宋体 (正文)" w:cs="宋体 (正文)"/>
          <w:b/>
          <w:bCs/>
          <w:color w:val="auto"/>
          <w:szCs w:val="21"/>
        </w:rPr>
        <w:t>所在区域</w:t>
      </w:r>
      <w:bookmarkEnd w:id="2"/>
    </w:p>
    <w:p w14:paraId="28FD0B4C">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深圳市</w:t>
      </w:r>
      <w:bookmarkStart w:id="3" w:name="_Toc2206"/>
    </w:p>
    <w:p w14:paraId="06D9750C">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kern w:val="2"/>
          <w:sz w:val="21"/>
          <w:szCs w:val="21"/>
          <w:lang w:val="en-US" w:eastAsia="zh-CN" w:bidi="ar-SA"/>
        </w:rPr>
        <w:t>五、</w:t>
      </w:r>
      <w:r>
        <w:rPr>
          <w:rFonts w:hint="eastAsia" w:ascii="宋体 (正文)" w:hAnsi="宋体 (正文)" w:eastAsia="宋体 (正文)" w:cs="宋体 (正文)"/>
          <w:b/>
          <w:bCs/>
          <w:color w:val="auto"/>
          <w:szCs w:val="21"/>
        </w:rPr>
        <w:t>保险期限</w:t>
      </w:r>
      <w:bookmarkEnd w:id="3"/>
    </w:p>
    <w:p w14:paraId="0C7718EE">
      <w:pPr>
        <w:pageBreakBefore w:val="0"/>
        <w:shd w:val="clear"/>
        <w:kinsoku/>
        <w:wordWrap/>
        <w:overflowPunct/>
        <w:topLinePunct w:val="0"/>
        <w:bidi w:val="0"/>
        <w:snapToGrid/>
        <w:spacing w:line="400" w:lineRule="exact"/>
        <w:ind w:firstLine="420" w:firstLineChars="200"/>
        <w:textAlignment w:val="auto"/>
        <w:rPr>
          <w:rFonts w:hint="eastAsia" w:ascii="宋体 (正文)" w:hAnsi="宋体 (正文)" w:eastAsia="宋体 (正文)" w:cs="宋体 (正文)"/>
          <w:color w:val="auto"/>
          <w:szCs w:val="21"/>
        </w:rPr>
      </w:pPr>
      <w:r>
        <w:rPr>
          <w:rFonts w:hint="eastAsia" w:ascii="宋体 (正文)" w:hAnsi="宋体 (正文)" w:eastAsia="宋体 (正文)" w:cs="宋体 (正文)"/>
          <w:color w:val="auto"/>
          <w:szCs w:val="21"/>
        </w:rPr>
        <w:t>一年,从202</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年</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月</w:t>
      </w:r>
      <w:r>
        <w:rPr>
          <w:rFonts w:hint="eastAsia" w:ascii="宋体 (正文)" w:hAnsi="宋体 (正文)" w:eastAsia="宋体 (正文)" w:cs="宋体 (正文)"/>
          <w:color w:val="auto"/>
          <w:szCs w:val="21"/>
          <w:lang w:val="en-US" w:eastAsia="zh-CN"/>
        </w:rPr>
        <w:t>19</w:t>
      </w:r>
      <w:r>
        <w:rPr>
          <w:rFonts w:hint="eastAsia" w:ascii="宋体 (正文)" w:hAnsi="宋体 (正文)" w:eastAsia="宋体 (正文)" w:cs="宋体 (正文)"/>
          <w:color w:val="auto"/>
          <w:szCs w:val="21"/>
        </w:rPr>
        <w:t>日零时起至202</w:t>
      </w:r>
      <w:r>
        <w:rPr>
          <w:rFonts w:hint="eastAsia" w:ascii="宋体 (正文)" w:hAnsi="宋体 (正文)" w:eastAsia="宋体 (正文)" w:cs="宋体 (正文)"/>
          <w:color w:val="auto"/>
          <w:szCs w:val="21"/>
          <w:lang w:val="en-US" w:eastAsia="zh-CN"/>
        </w:rPr>
        <w:t>7</w:t>
      </w:r>
      <w:r>
        <w:rPr>
          <w:rFonts w:hint="eastAsia" w:ascii="宋体 (正文)" w:hAnsi="宋体 (正文)" w:eastAsia="宋体 (正文)" w:cs="宋体 (正文)"/>
          <w:color w:val="auto"/>
          <w:szCs w:val="21"/>
        </w:rPr>
        <w:t>年</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月</w:t>
      </w:r>
      <w:r>
        <w:rPr>
          <w:rFonts w:hint="eastAsia" w:ascii="宋体 (正文)" w:hAnsi="宋体 (正文)" w:eastAsia="宋体 (正文)" w:cs="宋体 (正文)"/>
          <w:color w:val="auto"/>
          <w:szCs w:val="21"/>
          <w:lang w:val="en-US" w:eastAsia="zh-CN"/>
        </w:rPr>
        <w:t>18</w:t>
      </w:r>
      <w:r>
        <w:rPr>
          <w:rFonts w:hint="eastAsia" w:ascii="宋体 (正文)" w:hAnsi="宋体 (正文)" w:eastAsia="宋体 (正文)" w:cs="宋体 (正文)"/>
          <w:color w:val="auto"/>
          <w:szCs w:val="21"/>
        </w:rPr>
        <w:t>日24时止。</w:t>
      </w:r>
      <w:bookmarkStart w:id="4" w:name="_Toc4180"/>
    </w:p>
    <w:p w14:paraId="41DA8596">
      <w:pPr>
        <w:pageBreakBefore w:val="0"/>
        <w:shd w:val="clear"/>
        <w:kinsoku/>
        <w:wordWrap/>
        <w:overflowPunct/>
        <w:topLinePunct w:val="0"/>
        <w:bidi w:val="0"/>
        <w:snapToGrid/>
        <w:spacing w:line="400" w:lineRule="exact"/>
        <w:ind w:firstLine="420" w:firstLineChars="200"/>
        <w:textAlignment w:val="auto"/>
        <w:rPr>
          <w:rFonts w:hint="default" w:ascii="宋体 (正文)" w:hAnsi="宋体 (正文)" w:eastAsia="宋体 (正文)" w:cs="宋体 (正文)"/>
          <w:b/>
          <w:bCs/>
          <w:color w:val="auto"/>
          <w:szCs w:val="21"/>
          <w:lang w:val="en-US" w:eastAsia="zh-CN"/>
        </w:rPr>
      </w:pPr>
      <w:r>
        <w:rPr>
          <w:rFonts w:hint="eastAsia" w:ascii="Times New Roman" w:hAnsi="Times New Roman" w:eastAsia="宋体" w:cs="Times New Roman"/>
          <w:lang w:eastAsia="zh-Hans"/>
        </w:rPr>
        <w:t>服务期限</w:t>
      </w:r>
      <w:r>
        <w:rPr>
          <w:rFonts w:hint="eastAsia" w:ascii="Times New Roman" w:hAnsi="Times New Roman" w:eastAsia="宋体" w:cs="Times New Roman"/>
          <w:lang w:val="en-US" w:eastAsia="zh-CN"/>
        </w:rPr>
        <w:t>届满前</w:t>
      </w:r>
      <w:r>
        <w:rPr>
          <w:rFonts w:hint="eastAsia" w:ascii="Times New Roman" w:hAnsi="Times New Roman" w:eastAsia="宋体" w:cs="Times New Roman"/>
          <w:lang w:eastAsia="zh-Hans"/>
        </w:rPr>
        <w:t>，</w:t>
      </w:r>
      <w:r>
        <w:rPr>
          <w:rFonts w:hint="eastAsia" w:ascii="Times New Roman" w:hAnsi="Times New Roman" w:eastAsia="宋体" w:cs="Times New Roman"/>
          <w:lang w:val="en-US" w:eastAsia="zh-CN"/>
        </w:rPr>
        <w:t>采购人可根据履约及当年赔付情况进行评估决定是否续约</w:t>
      </w:r>
      <w:r>
        <w:rPr>
          <w:rFonts w:hint="eastAsia" w:ascii="Times New Roman" w:hAnsi="Times New Roman" w:eastAsia="宋体" w:cs="Times New Roman"/>
          <w:lang w:eastAsia="zh-CN"/>
        </w:rPr>
        <w:t>，</w:t>
      </w:r>
      <w:r>
        <w:rPr>
          <w:rFonts w:hint="eastAsia" w:ascii="Times New Roman" w:hAnsi="Times New Roman" w:eastAsia="宋体" w:cs="Times New Roman"/>
        </w:rPr>
        <w:t>合同一年一签，但</w:t>
      </w:r>
      <w:r>
        <w:rPr>
          <w:rFonts w:hint="eastAsia" w:ascii="Times New Roman" w:hAnsi="Times New Roman" w:eastAsia="宋体" w:cs="Times New Roman"/>
          <w:lang w:eastAsia="zh-CN"/>
        </w:rPr>
        <w:t>服务期</w:t>
      </w:r>
      <w:r>
        <w:rPr>
          <w:rFonts w:hint="eastAsia" w:ascii="Times New Roman" w:hAnsi="Times New Roman" w:eastAsia="宋体" w:cs="Times New Roman"/>
          <w:lang w:val="en-US" w:eastAsia="zh-CN"/>
        </w:rPr>
        <w:t>限</w:t>
      </w:r>
      <w:r>
        <w:rPr>
          <w:rFonts w:hint="eastAsia" w:ascii="Times New Roman" w:hAnsi="Times New Roman" w:eastAsia="宋体" w:cs="Times New Roman"/>
          <w:lang w:eastAsia="zh-CN"/>
        </w:rPr>
        <w:t>最长不超过三</w:t>
      </w:r>
      <w:r>
        <w:rPr>
          <w:rFonts w:hint="eastAsia" w:ascii="Times New Roman" w:hAnsi="Times New Roman" w:eastAsia="宋体" w:cs="Times New Roman"/>
          <w:lang w:val="en-US" w:eastAsia="zh-CN"/>
        </w:rPr>
        <w:t>十六个月。</w:t>
      </w:r>
    </w:p>
    <w:p w14:paraId="1A3EC76E">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w:hAnsi="宋体" w:eastAsia="宋体" w:cs="Times New Roman"/>
          <w:b/>
          <w:bCs/>
          <w:color w:val="auto"/>
          <w:szCs w:val="21"/>
          <w:highlight w:val="none"/>
        </w:rPr>
        <w:t>★</w:t>
      </w:r>
      <w:r>
        <w:rPr>
          <w:rFonts w:hint="eastAsia" w:ascii="宋体 (正文)" w:hAnsi="宋体 (正文)" w:eastAsia="宋体 (正文)" w:cs="宋体 (正文)"/>
          <w:b/>
          <w:bCs/>
          <w:color w:val="auto"/>
          <w:kern w:val="2"/>
          <w:sz w:val="21"/>
          <w:szCs w:val="21"/>
          <w:lang w:val="en-US" w:eastAsia="zh-CN" w:bidi="ar-SA"/>
        </w:rPr>
        <w:t>六、</w:t>
      </w:r>
      <w:r>
        <w:rPr>
          <w:rFonts w:hint="eastAsia" w:ascii="宋体 (正文)" w:hAnsi="宋体 (正文)" w:eastAsia="宋体 (正文)" w:cs="宋体 (正文)"/>
          <w:b/>
          <w:bCs/>
          <w:color w:val="auto"/>
          <w:szCs w:val="21"/>
        </w:rPr>
        <w:t>保险对象</w:t>
      </w:r>
      <w:bookmarkEnd w:id="4"/>
    </w:p>
    <w:p w14:paraId="098A9004">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在深圳市中医肛肠医院（福田），就医、诊疗、体检及保健的个人均为医疗责任险的保险对象。</w:t>
      </w:r>
      <w:bookmarkStart w:id="5" w:name="_Toc22695"/>
    </w:p>
    <w:p w14:paraId="1E829477">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kern w:val="2"/>
          <w:sz w:val="21"/>
          <w:szCs w:val="21"/>
          <w:lang w:val="en-US" w:eastAsia="zh-CN" w:bidi="ar-SA"/>
        </w:rPr>
        <w:t>七、</w:t>
      </w:r>
      <w:r>
        <w:rPr>
          <w:rFonts w:hint="eastAsia" w:ascii="宋体 (正文)" w:hAnsi="宋体 (正文)" w:eastAsia="宋体 (正文)" w:cs="宋体 (正文)"/>
          <w:b/>
          <w:bCs/>
          <w:color w:val="auto"/>
          <w:szCs w:val="21"/>
        </w:rPr>
        <w:t>保险追溯期</w:t>
      </w:r>
      <w:bookmarkEnd w:id="5"/>
    </w:p>
    <w:p w14:paraId="58744991">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20</w:t>
      </w:r>
      <w:r>
        <w:rPr>
          <w:rFonts w:hint="eastAsia" w:ascii="宋体 (正文)" w:hAnsi="宋体 (正文)" w:eastAsia="宋体 (正文)" w:cs="宋体 (正文)"/>
          <w:color w:val="auto"/>
          <w:szCs w:val="21"/>
          <w:lang w:val="en-US" w:eastAsia="zh-CN"/>
        </w:rPr>
        <w:t>24</w:t>
      </w:r>
      <w:r>
        <w:rPr>
          <w:rFonts w:hint="eastAsia" w:ascii="宋体 (正文)" w:hAnsi="宋体 (正文)" w:eastAsia="宋体 (正文)" w:cs="宋体 (正文)"/>
          <w:color w:val="auto"/>
          <w:szCs w:val="21"/>
        </w:rPr>
        <w:t>年</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月</w:t>
      </w:r>
      <w:r>
        <w:rPr>
          <w:rFonts w:hint="eastAsia" w:ascii="宋体 (正文)" w:hAnsi="宋体 (正文)" w:eastAsia="宋体 (正文)" w:cs="宋体 (正文)"/>
          <w:color w:val="auto"/>
          <w:szCs w:val="21"/>
          <w:lang w:val="en-US" w:eastAsia="zh-CN"/>
        </w:rPr>
        <w:t>19</w:t>
      </w:r>
      <w:r>
        <w:rPr>
          <w:rFonts w:hint="eastAsia" w:ascii="宋体 (正文)" w:hAnsi="宋体 (正文)" w:eastAsia="宋体 (正文)" w:cs="宋体 (正文)"/>
          <w:color w:val="auto"/>
          <w:szCs w:val="21"/>
        </w:rPr>
        <w:t>日零时，以后连续续保追溯期限逐年增加，如第二年续保追溯期为1年，以此类推，但追溯期最高不超过2年（含）。</w:t>
      </w:r>
      <w:bookmarkStart w:id="6" w:name="_Toc9980"/>
    </w:p>
    <w:p w14:paraId="7E1E67CD">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kern w:val="2"/>
          <w:sz w:val="21"/>
          <w:szCs w:val="21"/>
          <w:lang w:val="en-US" w:eastAsia="zh-CN" w:bidi="ar-SA"/>
        </w:rPr>
        <w:t>八、</w:t>
      </w:r>
      <w:r>
        <w:rPr>
          <w:rFonts w:hint="eastAsia" w:ascii="宋体 (正文)" w:hAnsi="宋体 (正文)" w:eastAsia="宋体 (正文)" w:cs="宋体 (正文)"/>
          <w:b/>
          <w:bCs/>
          <w:color w:val="auto"/>
          <w:szCs w:val="21"/>
        </w:rPr>
        <w:t>保单承保方式</w:t>
      </w:r>
      <w:bookmarkEnd w:id="6"/>
    </w:p>
    <w:p w14:paraId="6B7DB04E">
      <w:pPr>
        <w:pageBreakBefore w:val="0"/>
        <w:shd w:val="clear"/>
        <w:kinsoku/>
        <w:wordWrap/>
        <w:overflowPunct/>
        <w:topLinePunct w:val="0"/>
        <w:bidi w:val="0"/>
        <w:snapToGrid/>
        <w:spacing w:line="400" w:lineRule="exact"/>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 xml:space="preserve">    本保险单承保基础为期内索赔制。</w:t>
      </w:r>
      <w:bookmarkStart w:id="7" w:name="_Toc13567"/>
    </w:p>
    <w:p w14:paraId="7AB8B84C">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w:hAnsi="宋体" w:eastAsia="宋体" w:cs="Times New Roman"/>
          <w:b/>
          <w:bCs/>
          <w:color w:val="auto"/>
          <w:szCs w:val="21"/>
          <w:highlight w:val="none"/>
        </w:rPr>
        <w:t>★</w:t>
      </w:r>
      <w:bookmarkStart w:id="17" w:name="_GoBack"/>
      <w:bookmarkEnd w:id="17"/>
      <w:r>
        <w:rPr>
          <w:rFonts w:hint="eastAsia" w:ascii="宋体 (正文)" w:hAnsi="宋体 (正文)" w:eastAsia="宋体 (正文)" w:cs="宋体 (正文)"/>
          <w:b/>
          <w:bCs/>
          <w:color w:val="auto"/>
          <w:kern w:val="2"/>
          <w:sz w:val="21"/>
          <w:szCs w:val="21"/>
          <w:lang w:val="en-US" w:eastAsia="zh-CN" w:bidi="ar-SA"/>
        </w:rPr>
        <w:t>九、</w:t>
      </w:r>
      <w:r>
        <w:rPr>
          <w:rFonts w:hint="eastAsia" w:ascii="宋体 (正文)" w:hAnsi="宋体 (正文)" w:eastAsia="宋体 (正文)" w:cs="宋体 (正文)"/>
          <w:b/>
          <w:bCs/>
          <w:color w:val="auto"/>
          <w:szCs w:val="21"/>
        </w:rPr>
        <w:t>赔偿限额</w:t>
      </w:r>
      <w:bookmarkEnd w:id="7"/>
    </w:p>
    <w:p w14:paraId="05EA7878">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bookmarkStart w:id="8" w:name="_Toc4894"/>
      <w:r>
        <w:rPr>
          <w:rFonts w:hint="eastAsia" w:ascii="宋体 (正文)" w:hAnsi="宋体 (正文)" w:eastAsia="宋体 (正文)" w:cs="宋体 (正文)"/>
          <w:color w:val="auto"/>
          <w:szCs w:val="21"/>
        </w:rPr>
        <w:t>1.医疗损害责任事件和医疗意外赔偿限额（含外请医务人员、进修医务人员和实习生）</w:t>
      </w:r>
    </w:p>
    <w:p w14:paraId="7AC7275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年度累计赔偿限额：80人民币万元。</w:t>
      </w:r>
    </w:p>
    <w:p w14:paraId="6658BB47">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每人每次事件赔偿限额：30人民币万元。</w:t>
      </w:r>
    </w:p>
    <w:p w14:paraId="3F85CFE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 医疗机构场所责任</w:t>
      </w:r>
    </w:p>
    <w:p w14:paraId="6B1F1E17">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年度累计赔偿限额：人民币</w:t>
      </w:r>
      <w:r>
        <w:rPr>
          <w:rFonts w:hint="eastAsia" w:ascii="宋体 (正文)" w:hAnsi="宋体 (正文)" w:eastAsia="宋体 (正文)" w:cs="宋体 (正文)"/>
          <w:color w:val="auto"/>
          <w:szCs w:val="21"/>
          <w:lang w:val="en-US" w:eastAsia="zh-CN"/>
        </w:rPr>
        <w:t>40</w:t>
      </w:r>
      <w:r>
        <w:rPr>
          <w:rFonts w:hint="eastAsia" w:ascii="宋体 (正文)" w:hAnsi="宋体 (正文)" w:eastAsia="宋体 (正文)" w:cs="宋体 (正文)"/>
          <w:color w:val="auto"/>
          <w:szCs w:val="21"/>
        </w:rPr>
        <w:t>万元。</w:t>
      </w:r>
    </w:p>
    <w:p w14:paraId="4CD7AF4F">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每次事件赔偿限额：10万元。</w:t>
      </w:r>
    </w:p>
    <w:p w14:paraId="5970F203">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每人每次事件赔偿限额：人民币10万元。</w:t>
      </w:r>
    </w:p>
    <w:p w14:paraId="236AC35C">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3.医务人员人身损害赔偿限额（含外请医务人员、进修医务人员和实习生）</w:t>
      </w:r>
    </w:p>
    <w:p w14:paraId="23E535AA">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年度累积赔偿限额：人民币</w:t>
      </w:r>
      <w:r>
        <w:rPr>
          <w:rFonts w:hint="eastAsia" w:ascii="宋体 (正文)" w:hAnsi="宋体 (正文)" w:eastAsia="宋体 (正文)" w:cs="宋体 (正文)"/>
          <w:color w:val="auto"/>
          <w:szCs w:val="21"/>
          <w:lang w:val="en-US" w:eastAsia="zh-CN"/>
        </w:rPr>
        <w:t>4</w:t>
      </w:r>
      <w:r>
        <w:rPr>
          <w:rFonts w:hint="eastAsia" w:ascii="宋体 (正文)" w:hAnsi="宋体 (正文)" w:eastAsia="宋体 (正文)" w:cs="宋体 (正文)"/>
          <w:color w:val="auto"/>
          <w:szCs w:val="21"/>
        </w:rPr>
        <w:t>0万元。</w:t>
      </w:r>
    </w:p>
    <w:p w14:paraId="2CAEFB8C">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每人每次事故死亡、伤残赔偿限额：人民币1</w:t>
      </w:r>
      <w:r>
        <w:rPr>
          <w:rFonts w:hint="eastAsia" w:ascii="宋体 (正文)" w:hAnsi="宋体 (正文)" w:eastAsia="宋体 (正文)" w:cs="宋体 (正文)"/>
          <w:color w:val="auto"/>
          <w:szCs w:val="21"/>
          <w:lang w:val="en-US" w:eastAsia="zh-CN"/>
        </w:rPr>
        <w:t>5</w:t>
      </w:r>
      <w:r>
        <w:rPr>
          <w:rFonts w:hint="eastAsia" w:ascii="宋体 (正文)" w:hAnsi="宋体 (正文)" w:eastAsia="宋体 (正文)" w:cs="宋体 (正文)"/>
          <w:color w:val="auto"/>
          <w:szCs w:val="21"/>
        </w:rPr>
        <w:t>万元。</w:t>
      </w:r>
    </w:p>
    <w:p w14:paraId="5A4B92F2">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每人每次事故医疗费用赔偿限额：人民币2万元。</w:t>
      </w:r>
    </w:p>
    <w:p w14:paraId="4838723D">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4.精神损害赔偿限额</w:t>
      </w:r>
    </w:p>
    <w:p w14:paraId="4C798D33">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每人每次事故赔偿限额及累计赔偿限额：5万，且包含在每人每次事故或意外和年度累计赔偿限额之内。</w:t>
      </w:r>
    </w:p>
    <w:p w14:paraId="4B2C9AE4">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5.法律费用赔偿限额</w:t>
      </w:r>
    </w:p>
    <w:p w14:paraId="6BDE245A">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每人每次事故赔偿限额及累计赔偿限额：5万，且在每人每次事故或意外和年度累计赔偿限额之外单独计算。</w:t>
      </w:r>
    </w:p>
    <w:p w14:paraId="2D8CC3C4">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kern w:val="2"/>
          <w:sz w:val="21"/>
          <w:szCs w:val="21"/>
          <w:lang w:val="en-US" w:eastAsia="zh-CN" w:bidi="ar-SA"/>
        </w:rPr>
        <w:t>十、</w:t>
      </w:r>
      <w:r>
        <w:rPr>
          <w:rFonts w:hint="eastAsia" w:ascii="宋体 (正文)" w:hAnsi="宋体 (正文)" w:eastAsia="宋体 (正文)" w:cs="宋体 (正文)"/>
          <w:b/>
          <w:bCs/>
          <w:color w:val="auto"/>
          <w:szCs w:val="21"/>
        </w:rPr>
        <w:t>免赔额</w:t>
      </w:r>
      <w:bookmarkEnd w:id="8"/>
    </w:p>
    <w:p w14:paraId="3A78A1BF">
      <w:pPr>
        <w:pageBreakBefore w:val="0"/>
        <w:shd w:val="clear"/>
        <w:kinsoku/>
        <w:wordWrap/>
        <w:overflowPunct/>
        <w:topLinePunct w:val="0"/>
        <w:bidi w:val="0"/>
        <w:snapToGrid/>
        <w:spacing w:line="400" w:lineRule="exact"/>
        <w:ind w:firstLine="420" w:firstLineChars="200"/>
        <w:textAlignment w:val="auto"/>
        <w:rPr>
          <w:rFonts w:hint="eastAsia" w:ascii="宋体 (正文)" w:hAnsi="宋体 (正文)" w:eastAsia="宋体 (正文)" w:cs="宋体 (正文)"/>
          <w:color w:val="auto"/>
          <w:szCs w:val="21"/>
        </w:rPr>
      </w:pPr>
      <w:r>
        <w:rPr>
          <w:rFonts w:hint="eastAsia" w:ascii="宋体 (正文)" w:hAnsi="宋体 (正文)" w:eastAsia="宋体 (正文)" w:cs="宋体 (正文)"/>
          <w:color w:val="auto"/>
          <w:szCs w:val="21"/>
        </w:rPr>
        <w:t>免赔额为零。</w:t>
      </w:r>
    </w:p>
    <w:p w14:paraId="5B626F37">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bookmarkStart w:id="9" w:name="_Toc18109"/>
      <w:r>
        <w:rPr>
          <w:rFonts w:hint="eastAsia" w:ascii="宋体 (正文)" w:hAnsi="宋体 (正文)" w:eastAsia="宋体 (正文)" w:cs="宋体 (正文)"/>
          <w:b/>
          <w:bCs/>
          <w:color w:val="auto"/>
          <w:kern w:val="2"/>
          <w:sz w:val="21"/>
          <w:szCs w:val="21"/>
          <w:lang w:val="en-US" w:eastAsia="zh-CN" w:bidi="ar-SA"/>
        </w:rPr>
        <w:t>十一、</w:t>
      </w:r>
      <w:r>
        <w:rPr>
          <w:rFonts w:hint="eastAsia" w:ascii="宋体 (正文)" w:hAnsi="宋体 (正文)" w:eastAsia="宋体 (正文)" w:cs="宋体 (正文)"/>
          <w:b/>
          <w:bCs/>
          <w:color w:val="auto"/>
          <w:szCs w:val="21"/>
        </w:rPr>
        <w:t>附加条款</w:t>
      </w:r>
      <w:bookmarkEnd w:id="9"/>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投标时请附带具体附加条款，同时，如无相关报备条款，有相关特约亦可视为无偏离</w:t>
      </w:r>
      <w:r>
        <w:rPr>
          <w:rFonts w:hint="eastAsia" w:ascii="宋体" w:hAnsi="宋体" w:eastAsia="宋体" w:cs="宋体"/>
          <w:b w:val="0"/>
          <w:bCs/>
          <w:color w:val="auto"/>
          <w:lang w:eastAsia="zh-CN"/>
        </w:rPr>
        <w:t>）</w:t>
      </w:r>
    </w:p>
    <w:p w14:paraId="2B36CC11">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rPr>
        <w:t>1.</w:t>
      </w:r>
      <w:r>
        <w:rPr>
          <w:rFonts w:hint="eastAsia" w:ascii="宋体 (正文)" w:hAnsi="宋体 (正文)" w:eastAsia="宋体 (正文)" w:cs="宋体 (正文)"/>
          <w:color w:val="auto"/>
          <w:szCs w:val="21"/>
          <w:lang w:val="en-US" w:eastAsia="zh-CN"/>
        </w:rPr>
        <w:t>医疗责任保险示范条款（A款期内索赔制）</w:t>
      </w:r>
    </w:p>
    <w:p w14:paraId="644FE02E">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2.附加医疗机构场所责任保险条款</w:t>
      </w:r>
    </w:p>
    <w:p w14:paraId="57B1E623">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3.附加医务人员人身伤害责任保险条款</w:t>
      </w:r>
    </w:p>
    <w:p w14:paraId="210ABBA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4.附加进修医务人员医疗责任保险条款</w:t>
      </w:r>
    </w:p>
    <w:p w14:paraId="6E4D9538">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5.附加实习生医疗责任保险条款</w:t>
      </w:r>
    </w:p>
    <w:p w14:paraId="131B801E">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6.附加外请医务人员医疗责任保险条款</w:t>
      </w:r>
    </w:p>
    <w:p w14:paraId="12EFDF1B">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7.附加精神损害赔偿责任保险条款</w:t>
      </w:r>
    </w:p>
    <w:p w14:paraId="3E0ABD6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8.附加药品、消毒药剂、医疗器械、输入不合格的血液、药品不良反应责任保险条款</w:t>
      </w:r>
    </w:p>
    <w:p w14:paraId="1806B80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lang w:val="en-US" w:eastAsia="zh-CN"/>
        </w:rPr>
        <w:t>9.附加特定诊疗责任保险条款</w:t>
      </w:r>
      <w:bookmarkStart w:id="10" w:name="_Toc20124"/>
    </w:p>
    <w:p w14:paraId="66BDBECE">
      <w:pPr>
        <w:keepNext w:val="0"/>
        <w:keepLines w:val="0"/>
        <w:pageBreakBefore w:val="0"/>
        <w:widowControl w:val="0"/>
        <w:numPr>
          <w:ilvl w:val="0"/>
          <w:numId w:val="0"/>
        </w:numPr>
        <w:shd w:val="clear"/>
        <w:tabs>
          <w:tab w:val="left" w:pos="0"/>
        </w:tabs>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kern w:val="2"/>
          <w:sz w:val="21"/>
          <w:szCs w:val="21"/>
          <w:lang w:val="en-US" w:eastAsia="zh-CN" w:bidi="ar-SA"/>
        </w:rPr>
        <w:t>十二、</w:t>
      </w:r>
      <w:r>
        <w:rPr>
          <w:rFonts w:hint="eastAsia" w:ascii="宋体 (正文)" w:hAnsi="宋体 (正文)" w:eastAsia="宋体 (正文)" w:cs="宋体 (正文)"/>
          <w:b/>
          <w:bCs/>
          <w:color w:val="auto"/>
          <w:szCs w:val="21"/>
        </w:rPr>
        <w:t>特别约定</w:t>
      </w:r>
      <w:bookmarkEnd w:id="10"/>
    </w:p>
    <w:p w14:paraId="1B582726">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bookmarkStart w:id="11" w:name="_Toc402433227"/>
      <w:bookmarkStart w:id="12" w:name="_Toc402432750"/>
      <w:bookmarkStart w:id="13" w:name="_Toc402437424"/>
      <w:bookmarkStart w:id="14" w:name="_Toc402433609"/>
      <w:bookmarkStart w:id="15" w:name="_Toc402891454"/>
      <w:bookmarkStart w:id="16" w:name="_Toc403927990"/>
      <w:r>
        <w:rPr>
          <w:rFonts w:hint="default" w:ascii="宋体 (正文)" w:hAnsi="宋体 (正文)" w:eastAsia="宋体 (正文)" w:cs="宋体 (正文)"/>
          <w:color w:val="auto"/>
          <w:kern w:val="2"/>
          <w:sz w:val="21"/>
          <w:szCs w:val="21"/>
          <w:lang w:val="en-US" w:eastAsia="zh-CN" w:bidi="ar-SA"/>
        </w:rPr>
        <w:t>1.</w:t>
      </w:r>
      <w:r>
        <w:rPr>
          <w:rFonts w:hint="eastAsia" w:ascii="宋体 (正文)" w:hAnsi="宋体 (正文)" w:eastAsia="宋体 (正文)" w:cs="宋体 (正文)"/>
          <w:color w:val="auto"/>
          <w:szCs w:val="21"/>
        </w:rPr>
        <w:t>延长报告期特别约定</w:t>
      </w:r>
      <w:bookmarkEnd w:id="11"/>
      <w:bookmarkEnd w:id="12"/>
      <w:bookmarkEnd w:id="13"/>
      <w:bookmarkEnd w:id="14"/>
      <w:bookmarkEnd w:id="15"/>
      <w:bookmarkEnd w:id="16"/>
      <w:r>
        <w:rPr>
          <w:rFonts w:hint="eastAsia" w:ascii="宋体 (正文)" w:hAnsi="宋体 (正文)" w:eastAsia="宋体 (正文)" w:cs="宋体 (正文)"/>
          <w:color w:val="auto"/>
          <w:szCs w:val="21"/>
        </w:rPr>
        <w:t>：本协议设置延长报告期，协议到期后若投保人未续保且未在其它保险人处投保同类保险，被保险人将从协议终止之日起免费获得贰年的延长报告期。对于发生在本协议约定的保险期限和追溯期限内的保险事故，只要患者或其近亲属在延长报告期内首次向被保险人提出索赔要求，保险人仍然承担赔偿责任。但延长报告期并非延长本协议的保险期限或改变本协议的保障范围，也并不恢复或增加本协议的保险赔偿限额。</w:t>
      </w:r>
    </w:p>
    <w:p w14:paraId="278F8DDE">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2.</w:t>
      </w:r>
      <w:r>
        <w:rPr>
          <w:rFonts w:hint="eastAsia" w:ascii="宋体 (正文)" w:hAnsi="宋体 (正文)" w:eastAsia="宋体 (正文)" w:cs="宋体 (正文)"/>
          <w:color w:val="auto"/>
          <w:szCs w:val="21"/>
        </w:rPr>
        <w:t>本协议所指的法律费用包括但不限于</w:t>
      </w:r>
      <w:r>
        <w:rPr>
          <w:rFonts w:hint="eastAsia" w:ascii="Times New Roman" w:hAnsi="Times New Roman" w:eastAsia="宋体" w:cs="Times New Roman"/>
          <w:lang w:val="en-US" w:eastAsia="zh-CN"/>
        </w:rPr>
        <w:t>律师费、诉讼费</w:t>
      </w:r>
      <w:r>
        <w:rPr>
          <w:rFonts w:hint="eastAsia" w:ascii="宋体 (正文)" w:hAnsi="宋体 (正文)" w:eastAsia="宋体 (正文)" w:cs="宋体 (正文)"/>
          <w:color w:val="auto"/>
          <w:szCs w:val="21"/>
        </w:rPr>
        <w:t>、司法鉴定费、医疗损害鉴定、伤残等级鉴定、死因鉴定、毒理鉴定等与医疗损害、医疗意外、其他损害相关的鉴定费用；聘请法律顾问费用（每一案件的法律费用）；查勘费、取证费、仲裁或诉讼费、案件受理费、证人及专家出庭费用。</w:t>
      </w:r>
    </w:p>
    <w:p w14:paraId="4774A417">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3.</w:t>
      </w:r>
      <w:r>
        <w:rPr>
          <w:rFonts w:hint="eastAsia" w:ascii="宋体 (正文)" w:hAnsi="宋体 (正文)" w:eastAsia="宋体 (正文)" w:cs="宋体 (正文)"/>
          <w:color w:val="auto"/>
          <w:szCs w:val="21"/>
        </w:rPr>
        <w:t>因核反应、核子辐射和放射性污染造成的损失、费用和责任，保险不负责赔偿；但使用放射器材治疗或检查发生的赔偿责任，保险人负责赔偿。</w:t>
      </w:r>
    </w:p>
    <w:p w14:paraId="20C6B7E4">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highlight w:val="none"/>
        </w:rPr>
      </w:pPr>
      <w:r>
        <w:rPr>
          <w:rFonts w:hint="default" w:ascii="宋体 (正文)" w:hAnsi="宋体 (正文)" w:eastAsia="宋体 (正文)" w:cs="宋体 (正文)"/>
          <w:color w:val="auto"/>
          <w:kern w:val="2"/>
          <w:sz w:val="21"/>
          <w:szCs w:val="21"/>
          <w:lang w:val="en-US" w:eastAsia="zh-CN" w:bidi="ar-SA"/>
        </w:rPr>
        <w:t>4.</w:t>
      </w:r>
      <w:r>
        <w:rPr>
          <w:rFonts w:hint="eastAsia" w:ascii="宋体 (正文)" w:hAnsi="宋体 (正文)" w:eastAsia="宋体 (正文)" w:cs="宋体 (正文)"/>
          <w:color w:val="auto"/>
          <w:szCs w:val="21"/>
          <w:highlight w:val="none"/>
        </w:rPr>
        <w:t>本协议中医务人员指经过国家有关部门考核、批准或承认，取得相应资格的各级各类卫生技术人员，也包括医疗管理人员、实习生。</w:t>
      </w:r>
    </w:p>
    <w:p w14:paraId="0BFFDCAB">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hint="eastAsia"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5.</w:t>
      </w:r>
      <w:r>
        <w:rPr>
          <w:rFonts w:hint="eastAsia" w:ascii="宋体 (正文)" w:hAnsi="宋体 (正文)" w:eastAsia="宋体 (正文)" w:cs="宋体 (正文)"/>
          <w:color w:val="auto"/>
          <w:szCs w:val="21"/>
        </w:rPr>
        <w:t>本协议中救护车辆事故责任指被保险人在医疗活动中因所派出的机动救护车辆发生交通意外事故致使患者人身损害而依法应由被保险人承担的赔偿责任，保险人负责赔偿。</w:t>
      </w:r>
    </w:p>
    <w:p w14:paraId="16D3C2A2">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hint="eastAsia"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6.</w:t>
      </w:r>
      <w:r>
        <w:rPr>
          <w:rFonts w:hint="eastAsia" w:ascii="宋体 (正文)" w:hAnsi="宋体 (正文)" w:eastAsia="宋体 (正文)" w:cs="宋体 (正文)"/>
          <w:color w:val="auto"/>
          <w:szCs w:val="21"/>
        </w:rPr>
        <w:t>对于进行鉴定的赔案，所产生的鉴定费不区分责任比例，全部由保险人承担，并予以先行垫付，鉴定事项包括但不限于：医疗损害鉴定，伤残等级鉴定，后续治疗费鉴定、误工期护理期营养期鉴定等。</w:t>
      </w:r>
    </w:p>
    <w:p w14:paraId="5EDAD692">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7.</w:t>
      </w:r>
      <w:r>
        <w:rPr>
          <w:rFonts w:hint="eastAsia" w:ascii="宋体 (正文)" w:hAnsi="宋体 (正文)" w:eastAsia="宋体 (正文)" w:cs="宋体 (正文)"/>
          <w:color w:val="auto"/>
          <w:szCs w:val="21"/>
        </w:rPr>
        <w:t>本协议中医疗意外赔偿指在保险期限</w:t>
      </w:r>
      <w:r>
        <w:rPr>
          <w:rFonts w:hint="eastAsia" w:ascii="宋体 (正文)" w:hAnsi="宋体 (正文)" w:eastAsia="宋体 (正文)" w:cs="宋体 (正文)"/>
          <w:color w:val="auto"/>
          <w:szCs w:val="21"/>
          <w:lang w:val="en-US" w:eastAsia="zh-CN"/>
        </w:rPr>
        <w:t>内</w:t>
      </w:r>
      <w:r>
        <w:rPr>
          <w:rFonts w:hint="eastAsia" w:ascii="宋体 (正文)" w:hAnsi="宋体 (正文)" w:eastAsia="宋体 (正文)" w:cs="宋体 (正文)"/>
          <w:color w:val="auto"/>
          <w:szCs w:val="21"/>
        </w:rPr>
        <w:t>或追溯期内，被保险人在诊疗护理过程中由于无法抗拒的因素或无过错行为，但发生了难以预料、难以防范和难以控制的不良后果并造成患者损害，患者或其近亲属或其代理人在保险期限内首次向被保险人提出补偿要求，依法应由被保险人承担的经济赔偿责任或经法院、政府部门或理赔联席会议要求赔付给患者的相关费用，保险人负责赔偿。</w:t>
      </w:r>
    </w:p>
    <w:p w14:paraId="7ADFC8DE">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2" w:firstLineChars="200"/>
        <w:textAlignment w:val="auto"/>
        <w:rPr>
          <w:rFonts w:ascii="宋体 (正文)" w:hAnsi="宋体 (正文)" w:eastAsia="宋体 (正文)" w:cs="宋体 (正文)"/>
          <w:color w:val="auto"/>
          <w:szCs w:val="21"/>
        </w:rPr>
      </w:pPr>
      <w:r>
        <w:rPr>
          <w:rFonts w:hint="eastAsia" w:ascii="宋体" w:hAnsi="宋体" w:eastAsia="宋体" w:cs="Times New Roman"/>
          <w:b/>
          <w:bCs/>
          <w:color w:val="auto"/>
          <w:szCs w:val="21"/>
          <w:highlight w:val="none"/>
        </w:rPr>
        <w:t>★</w:t>
      </w:r>
      <w:r>
        <w:rPr>
          <w:rFonts w:hint="default" w:ascii="宋体 (正文)" w:hAnsi="宋体 (正文)" w:eastAsia="宋体 (正文)" w:cs="宋体 (正文)"/>
          <w:color w:val="auto"/>
          <w:kern w:val="2"/>
          <w:sz w:val="21"/>
          <w:szCs w:val="21"/>
          <w:lang w:val="en-US" w:eastAsia="zh-CN" w:bidi="ar-SA"/>
        </w:rPr>
        <w:t>8.</w:t>
      </w:r>
      <w:r>
        <w:rPr>
          <w:rFonts w:hint="eastAsia" w:ascii="宋体 (正文)" w:hAnsi="宋体 (正文)" w:eastAsia="宋体 (正文)" w:cs="宋体 (正文)"/>
          <w:color w:val="auto"/>
          <w:szCs w:val="21"/>
        </w:rPr>
        <w:t>本协议中医务人员人身损害责任指被保险人的医务人员在本协议有效期内，在从事本协议所载明的被保险人的业务有关工作时（包括上下班途中）遭受意外伤害，依法应由被保险人承担经济赔偿责任，保险人负责赔偿。</w:t>
      </w:r>
    </w:p>
    <w:p w14:paraId="3A117EBA">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2" w:firstLineChars="200"/>
        <w:textAlignment w:val="auto"/>
        <w:rPr>
          <w:rFonts w:ascii="宋体 (正文)" w:hAnsi="宋体 (正文)" w:eastAsia="宋体 (正文)" w:cs="宋体 (正文)"/>
          <w:color w:val="auto"/>
          <w:szCs w:val="21"/>
        </w:rPr>
      </w:pPr>
      <w:r>
        <w:rPr>
          <w:rFonts w:hint="eastAsia" w:ascii="宋体" w:hAnsi="宋体" w:eastAsia="宋体" w:cs="Times New Roman"/>
          <w:b/>
          <w:bCs/>
          <w:color w:val="auto"/>
          <w:szCs w:val="21"/>
          <w:highlight w:val="none"/>
        </w:rPr>
        <w:t>★</w:t>
      </w:r>
      <w:r>
        <w:rPr>
          <w:rFonts w:hint="default" w:ascii="宋体 (正文)" w:hAnsi="宋体 (正文)" w:eastAsia="宋体 (正文)" w:cs="宋体 (正文)"/>
          <w:color w:val="auto"/>
          <w:kern w:val="2"/>
          <w:sz w:val="21"/>
          <w:szCs w:val="21"/>
          <w:lang w:val="en-US" w:eastAsia="zh-CN" w:bidi="ar-SA"/>
        </w:rPr>
        <w:t>9.</w:t>
      </w:r>
      <w:r>
        <w:rPr>
          <w:rFonts w:hint="eastAsia" w:ascii="宋体 (正文)" w:hAnsi="宋体 (正文)" w:eastAsia="宋体 (正文)" w:cs="宋体 (正文)"/>
          <w:color w:val="auto"/>
          <w:szCs w:val="21"/>
        </w:rPr>
        <w:t>医务人员因发生保险事故导致死亡或残疾的，保险人按以下规定进行赔偿：</w:t>
      </w:r>
    </w:p>
    <w:p w14:paraId="1C2815CB">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（1）死亡：保险人按协议约定的每人每次事故死亡赔偿限额进行赔偿，如果保险人根据本协议约定已支付残疾赔偿金的，死亡赔偿金额为扣除已支付残疾赔偿金后的余额。</w:t>
      </w:r>
    </w:p>
    <w:p w14:paraId="66F2AE7A">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（2）伤残：按照以下伤残赔偿比例表规定的百分比乘以每人每次事故伤残赔偿限额进行赔偿，残疾程度鉴定标准以《劳动能力鉴定职工工伤与职业病致残等级》 (GB/T16180-2014)为准。</w:t>
      </w:r>
    </w:p>
    <w:tbl>
      <w:tblPr>
        <w:tblStyle w:val="2"/>
        <w:tblW w:w="7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6"/>
        <w:gridCol w:w="3695"/>
      </w:tblGrid>
      <w:tr w14:paraId="55A5A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5A519E6F">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伤残等级</w:t>
            </w:r>
          </w:p>
        </w:tc>
        <w:tc>
          <w:tcPr>
            <w:tcW w:w="3695" w:type="dxa"/>
            <w:noWrap w:val="0"/>
            <w:vAlign w:val="center"/>
          </w:tcPr>
          <w:p w14:paraId="4052D178">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赔偿比例</w:t>
            </w:r>
          </w:p>
        </w:tc>
      </w:tr>
      <w:tr w14:paraId="2B44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6EBE08B0">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一级伤残</w:t>
            </w:r>
          </w:p>
        </w:tc>
        <w:tc>
          <w:tcPr>
            <w:tcW w:w="3695" w:type="dxa"/>
            <w:noWrap w:val="0"/>
            <w:vAlign w:val="center"/>
          </w:tcPr>
          <w:p w14:paraId="01EDF47F">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100%</w:t>
            </w:r>
          </w:p>
        </w:tc>
      </w:tr>
      <w:tr w14:paraId="0302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6F58ECEF">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二级伤残</w:t>
            </w:r>
          </w:p>
        </w:tc>
        <w:tc>
          <w:tcPr>
            <w:tcW w:w="3695" w:type="dxa"/>
            <w:noWrap w:val="0"/>
            <w:vAlign w:val="center"/>
          </w:tcPr>
          <w:p w14:paraId="2F35DF1C">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80%</w:t>
            </w:r>
          </w:p>
        </w:tc>
      </w:tr>
      <w:tr w14:paraId="5AB0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214827AC">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三级伤残</w:t>
            </w:r>
          </w:p>
        </w:tc>
        <w:tc>
          <w:tcPr>
            <w:tcW w:w="3695" w:type="dxa"/>
            <w:noWrap w:val="0"/>
            <w:vAlign w:val="center"/>
          </w:tcPr>
          <w:p w14:paraId="01828710">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70%</w:t>
            </w:r>
          </w:p>
        </w:tc>
      </w:tr>
      <w:tr w14:paraId="0F542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5980B9FD">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四级伤残</w:t>
            </w:r>
          </w:p>
        </w:tc>
        <w:tc>
          <w:tcPr>
            <w:tcW w:w="3695" w:type="dxa"/>
            <w:noWrap w:val="0"/>
            <w:vAlign w:val="center"/>
          </w:tcPr>
          <w:p w14:paraId="577155DE">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60%</w:t>
            </w:r>
          </w:p>
        </w:tc>
      </w:tr>
      <w:tr w14:paraId="32A35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483D90F0">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五级伤残</w:t>
            </w:r>
          </w:p>
        </w:tc>
        <w:tc>
          <w:tcPr>
            <w:tcW w:w="3695" w:type="dxa"/>
            <w:noWrap w:val="0"/>
            <w:vAlign w:val="center"/>
          </w:tcPr>
          <w:p w14:paraId="40098502">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50%</w:t>
            </w:r>
          </w:p>
        </w:tc>
      </w:tr>
      <w:tr w14:paraId="6287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4B28E3F0">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六级伤残</w:t>
            </w:r>
          </w:p>
        </w:tc>
        <w:tc>
          <w:tcPr>
            <w:tcW w:w="3695" w:type="dxa"/>
            <w:noWrap w:val="0"/>
            <w:vAlign w:val="center"/>
          </w:tcPr>
          <w:p w14:paraId="34C62DD3">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40%</w:t>
            </w:r>
          </w:p>
        </w:tc>
      </w:tr>
      <w:tr w14:paraId="5982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6C08BE1B">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七级伤残</w:t>
            </w:r>
          </w:p>
        </w:tc>
        <w:tc>
          <w:tcPr>
            <w:tcW w:w="3695" w:type="dxa"/>
            <w:noWrap w:val="0"/>
            <w:vAlign w:val="center"/>
          </w:tcPr>
          <w:p w14:paraId="3D543AD8">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30%</w:t>
            </w:r>
          </w:p>
        </w:tc>
      </w:tr>
      <w:tr w14:paraId="24CB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2AEDF175">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八级伤残</w:t>
            </w:r>
          </w:p>
        </w:tc>
        <w:tc>
          <w:tcPr>
            <w:tcW w:w="3695" w:type="dxa"/>
            <w:noWrap w:val="0"/>
            <w:vAlign w:val="center"/>
          </w:tcPr>
          <w:p w14:paraId="6E7BACFF">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20%</w:t>
            </w:r>
          </w:p>
        </w:tc>
      </w:tr>
      <w:tr w14:paraId="7C92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7046DBEF">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九级伤残</w:t>
            </w:r>
          </w:p>
        </w:tc>
        <w:tc>
          <w:tcPr>
            <w:tcW w:w="3695" w:type="dxa"/>
            <w:noWrap w:val="0"/>
            <w:vAlign w:val="center"/>
          </w:tcPr>
          <w:p w14:paraId="1289C01F">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10%</w:t>
            </w:r>
          </w:p>
        </w:tc>
      </w:tr>
      <w:tr w14:paraId="358A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556" w:type="dxa"/>
            <w:noWrap w:val="0"/>
            <w:vAlign w:val="center"/>
          </w:tcPr>
          <w:p w14:paraId="18ED275D">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十级伤残</w:t>
            </w:r>
          </w:p>
        </w:tc>
        <w:tc>
          <w:tcPr>
            <w:tcW w:w="3695" w:type="dxa"/>
            <w:noWrap w:val="0"/>
            <w:vAlign w:val="center"/>
          </w:tcPr>
          <w:p w14:paraId="76CFDA31">
            <w:pPr>
              <w:keepNext w:val="0"/>
              <w:keepLines w:val="0"/>
              <w:pageBreakBefore w:val="0"/>
              <w:widowControl w:val="0"/>
              <w:shd w:val="clear"/>
              <w:kinsoku/>
              <w:wordWrap/>
              <w:overflowPunct/>
              <w:topLinePunct w:val="0"/>
              <w:autoSpaceDE/>
              <w:autoSpaceDN/>
              <w:bidi w:val="0"/>
              <w:adjustRightInd/>
              <w:snapToGrid w:val="0"/>
              <w:spacing w:line="240" w:lineRule="auto"/>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w:t>
            </w:r>
          </w:p>
        </w:tc>
      </w:tr>
    </w:tbl>
    <w:p w14:paraId="11A9E0F7">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（3）即使工伤保险或第三方已给与伤残或死亡赔偿，保险人仍根据本协议约定的标准进行赔偿。</w:t>
      </w:r>
    </w:p>
    <w:p w14:paraId="0CC0C1AE">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10.</w:t>
      </w:r>
      <w:r>
        <w:rPr>
          <w:rFonts w:hint="eastAsia" w:ascii="宋体 (正文)" w:hAnsi="宋体 (正文)" w:eastAsia="宋体 (正文)" w:cs="宋体 (正文)"/>
          <w:color w:val="auto"/>
          <w:szCs w:val="21"/>
        </w:rPr>
        <w:t>经双方协商一致，保险人同意本协议采用不记名方式投保，投保人按投保时实际在册医务人员人数投保，且自动承保保险期限内被保险人新增的医务人员，但发生赔案时，被保险人应提供与相关医务人员签订的劳务合同等相关用工协议。</w:t>
      </w:r>
    </w:p>
    <w:p w14:paraId="1A0BF345">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11.</w:t>
      </w:r>
      <w:r>
        <w:rPr>
          <w:rFonts w:hint="eastAsia" w:ascii="宋体 (正文)" w:hAnsi="宋体 (正文)" w:eastAsia="宋体 (正文)" w:cs="宋体 (正文)"/>
          <w:color w:val="auto"/>
          <w:szCs w:val="21"/>
        </w:rPr>
        <w:t>事故发生后，被保险人为避免或减轻患者损害，或者为了防止赔偿扩大所支付的必须、合理的费用，保险人负责赔偿。</w:t>
      </w:r>
    </w:p>
    <w:p w14:paraId="4A718AF9">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12.</w:t>
      </w:r>
      <w:r>
        <w:rPr>
          <w:rFonts w:hint="eastAsia" w:ascii="宋体 (正文)" w:hAnsi="宋体 (正文)" w:eastAsia="宋体 (正文)" w:cs="宋体 (正文)"/>
          <w:color w:val="auto"/>
          <w:szCs w:val="21"/>
        </w:rPr>
        <w:t>凡通过《广东省医疗纠纷预防与处理办法》第七条约定途径处理的医疗损害责任事件、医疗意外事件以及其他损害事件，保险人均应认可处理结果。具体形式包括但不限于：</w:t>
      </w:r>
    </w:p>
    <w:p w14:paraId="3338715C">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（1）经医患双方协商认定的（赔付金额在1万元（含）以内）的。</w:t>
      </w:r>
    </w:p>
    <w:p w14:paraId="2F98A99B">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（2）经人民调解委员会调解。</w:t>
      </w:r>
    </w:p>
    <w:p w14:paraId="1C79985A">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（3）经医学会鉴定或司法鉴定。</w:t>
      </w:r>
    </w:p>
    <w:p w14:paraId="46188F9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（4）经仲裁院仲裁或调解。</w:t>
      </w:r>
    </w:p>
    <w:p w14:paraId="6515FC1D">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（5）经法院判决或调解。</w:t>
      </w:r>
    </w:p>
    <w:p w14:paraId="510F859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（6）医院专家委员会与保险人共同认定。</w:t>
      </w:r>
    </w:p>
    <w:p w14:paraId="3283956B">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13.</w:t>
      </w:r>
      <w:r>
        <w:rPr>
          <w:rFonts w:hint="eastAsia" w:ascii="宋体 (正文)" w:hAnsi="宋体 (正文)" w:eastAsia="宋体 (正文)" w:cs="宋体 (正文)"/>
          <w:color w:val="auto"/>
          <w:szCs w:val="21"/>
        </w:rPr>
        <w:t>对既必须紧急处理的、又可认定确属保险责任范围赔案，但又不能确定其赔款的，应当根据已有单证和资料，按其最低赔款或者用于应急处理所需的部分赔款，保险人先予支付，在最终核定赔偿金额后，再支付相应的差额。</w:t>
      </w:r>
    </w:p>
    <w:p w14:paraId="08767320">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14.</w:t>
      </w:r>
      <w:r>
        <w:rPr>
          <w:rFonts w:hint="eastAsia" w:ascii="宋体 (正文)" w:hAnsi="宋体 (正文)" w:eastAsia="宋体 (正文)" w:cs="宋体 (正文)"/>
          <w:color w:val="auto"/>
          <w:szCs w:val="21"/>
        </w:rPr>
        <w:t>对于属于保险责任的案件，保险人收齐理赔资料后，应在15个工作日内制作赔款计算书并支付给被保险人或直接支付赔款给患方</w:t>
      </w:r>
      <w:r>
        <w:rPr>
          <w:rFonts w:hint="eastAsia" w:ascii="宋体 (正文)" w:hAnsi="宋体 (正文)" w:eastAsia="宋体 (正文)" w:cs="宋体 (正文)"/>
          <w:color w:val="auto"/>
          <w:szCs w:val="21"/>
          <w:lang w:eastAsia="zh-CN"/>
        </w:rPr>
        <w:t>，</w:t>
      </w:r>
      <w:r>
        <w:rPr>
          <w:rFonts w:hint="eastAsia" w:ascii="Times New Roman" w:hAnsi="Times New Roman" w:eastAsia="宋体" w:cs="Times New Roman"/>
          <w:lang w:val="en-US" w:eastAsia="zh-CN"/>
        </w:rPr>
        <w:t>具体理赔时效按附件一处理</w:t>
      </w:r>
      <w:r>
        <w:rPr>
          <w:rFonts w:hint="eastAsia" w:ascii="宋体 (正文)" w:hAnsi="宋体 (正文)" w:eastAsia="宋体 (正文)" w:cs="宋体 (正文)"/>
          <w:color w:val="auto"/>
          <w:szCs w:val="21"/>
        </w:rPr>
        <w:t>。</w:t>
      </w:r>
    </w:p>
    <w:p w14:paraId="5ADA6821">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default" w:ascii="宋体 (正文)" w:hAnsi="宋体 (正文)" w:eastAsia="宋体 (正文)" w:cs="宋体 (正文)"/>
          <w:color w:val="auto"/>
          <w:kern w:val="2"/>
          <w:sz w:val="21"/>
          <w:szCs w:val="21"/>
          <w:lang w:val="en-US" w:eastAsia="zh-CN" w:bidi="ar-SA"/>
        </w:rPr>
        <w:t>15.</w:t>
      </w:r>
      <w:r>
        <w:rPr>
          <w:rFonts w:hint="eastAsia" w:ascii="宋体 (正文)" w:hAnsi="宋体 (正文)" w:eastAsia="宋体 (正文)" w:cs="宋体 (正文)"/>
          <w:color w:val="auto"/>
          <w:szCs w:val="21"/>
        </w:rPr>
        <w:t>保险期间，由</w:t>
      </w:r>
      <w:r>
        <w:rPr>
          <w:rFonts w:hint="eastAsia" w:ascii="宋体 (正文)" w:hAnsi="宋体 (正文)" w:eastAsia="宋体 (正文)" w:cs="宋体 (正文)"/>
          <w:color w:val="auto"/>
          <w:szCs w:val="21"/>
          <w:lang w:val="en-US" w:eastAsia="zh-CN"/>
        </w:rPr>
        <w:t>中标单位</w:t>
      </w:r>
      <w:r>
        <w:rPr>
          <w:rFonts w:hint="eastAsia" w:ascii="宋体 (正文)" w:hAnsi="宋体 (正文)" w:eastAsia="宋体 (正文)" w:cs="宋体 (正文)"/>
          <w:color w:val="auto"/>
          <w:szCs w:val="21"/>
        </w:rPr>
        <w:t>组织至少一次关于医疗法律法规或者医疗纠纷预防和处理的相关培训，培训相关费用由</w:t>
      </w:r>
      <w:r>
        <w:rPr>
          <w:rFonts w:hint="eastAsia" w:ascii="宋体 (正文)" w:hAnsi="宋体 (正文)" w:eastAsia="宋体 (正文)" w:cs="宋体 (正文)"/>
          <w:color w:val="auto"/>
          <w:szCs w:val="21"/>
          <w:lang w:val="en-US" w:eastAsia="zh-CN"/>
        </w:rPr>
        <w:t>中标单位</w:t>
      </w:r>
      <w:r>
        <w:rPr>
          <w:rFonts w:hint="eastAsia" w:ascii="宋体 (正文)" w:hAnsi="宋体 (正文)" w:eastAsia="宋体 (正文)" w:cs="宋体 (正文)"/>
          <w:color w:val="auto"/>
          <w:szCs w:val="21"/>
        </w:rPr>
        <w:t>承担。</w:t>
      </w:r>
    </w:p>
    <w:p w14:paraId="3C29739F">
      <w:pPr>
        <w:keepNext w:val="0"/>
        <w:keepLines w:val="0"/>
        <w:pageBreakBefore w:val="0"/>
        <w:widowControl w:val="0"/>
        <w:numPr>
          <w:ilvl w:val="0"/>
          <w:numId w:val="0"/>
        </w:numPr>
        <w:shd w:val="clear"/>
        <w:tabs>
          <w:tab w:val="left" w:pos="397"/>
        </w:tabs>
        <w:kinsoku/>
        <w:wordWrap/>
        <w:overflowPunct/>
        <w:topLinePunct w:val="0"/>
        <w:autoSpaceDE/>
        <w:autoSpaceDN/>
        <w:bidi w:val="0"/>
        <w:adjustRightInd/>
        <w:snapToGrid/>
        <w:spacing w:line="400" w:lineRule="exact"/>
        <w:ind w:left="0" w:leftChars="0" w:firstLine="420" w:firstLineChars="200"/>
        <w:textAlignment w:val="auto"/>
      </w:pPr>
      <w:r>
        <w:rPr>
          <w:rFonts w:hint="default" w:ascii="Times New Roman" w:hAnsi="Times New Roman" w:eastAsia="宋体" w:cs="Times New Roman"/>
          <w:kern w:val="2"/>
          <w:sz w:val="21"/>
          <w:szCs w:val="24"/>
          <w:lang w:val="en-US" w:eastAsia="zh-CN" w:bidi="ar-SA"/>
        </w:rPr>
        <w:t>16.</w:t>
      </w:r>
      <w:r>
        <w:rPr>
          <w:rFonts w:hint="eastAsia" w:ascii="宋体 (正文)" w:hAnsi="宋体 (正文)" w:eastAsia="宋体 (正文)" w:cs="宋体 (正文)"/>
          <w:color w:val="auto"/>
          <w:szCs w:val="21"/>
        </w:rPr>
        <w:t>保险人工作人员在工作过程中，若因工作方式、方法不当或者因重大疏忽或错误等主观原因造成患方向被保险人提出严重投诉的或者造成恶劣影响</w:t>
      </w:r>
      <w:r>
        <w:rPr>
          <w:rFonts w:hint="eastAsia" w:ascii="宋体 (正文)" w:hAnsi="宋体 (正文)" w:eastAsia="宋体 (正文)" w:cs="宋体 (正文)"/>
          <w:color w:val="auto"/>
          <w:szCs w:val="21"/>
          <w:highlight w:val="none"/>
        </w:rPr>
        <w:t>，保险人依法应承担相应责任。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宋体 (正文)">
    <w:altName w:val="宋体"/>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rPr>
    </w:lvl>
    <w:lvl w:ilvl="1" w:tentative="0">
      <w:start w:val="1"/>
      <w:numFmt w:val="decimal"/>
      <w:lvlText w:val="%2、"/>
      <w:lvlJc w:val="left"/>
      <w:pPr>
        <w:tabs>
          <w:tab w:val="left" w:pos="780"/>
        </w:tabs>
        <w:ind w:left="780" w:hanging="360"/>
      </w:pPr>
      <w:rPr>
        <w:rFonts w:hint="default"/>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501719F"/>
    <w:multiLevelType w:val="multilevel"/>
    <w:tmpl w:val="4501719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E50950"/>
    <w:rsid w:val="07BD3146"/>
    <w:rsid w:val="12D17C30"/>
    <w:rsid w:val="69F244CF"/>
    <w:rsid w:val="6EEA44FE"/>
    <w:rsid w:val="70350448"/>
    <w:rsid w:val="7BE50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qFormat/>
    <w:uiPriority w:val="39"/>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3002</Words>
  <Characters>3113</Characters>
  <Lines>0</Lines>
  <Paragraphs>0</Paragraphs>
  <TotalTime>0</TotalTime>
  <ScaleCrop>false</ScaleCrop>
  <LinksUpToDate>false</LinksUpToDate>
  <CharactersWithSpaces>3119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2026-04-24T06:52:00Z</dcterms:created>
  <dc:creator>admin</dc:creator>
  <cp:lastModifiedBy>scott</cp:lastModifiedBy>
  <dcterms:modified xsi:type="dcterms:W3CDTF">2026-05-11T08:24:56Z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30FB0CAA9C1747798B93BBB3E383942F_13</vt:lpwstr>
  </property>
  <property fmtid="{D5CDD505-2E9C-101B-9397-08002B2CF9AE}" pid="4" name="KSOTemplateDocerSaveRecord">
    <vt:lpwstr>eyJoZGlkIjoiOGM2ZGVjNDUxNTkxYTMyZjlkZjk1YWZmZmMyMDAwMjUiLCJ1c2VySWQiOiIyNDg0MjA5MjAifQ==</vt:lpwstr>
  </property>
</Properties>
</file>