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75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4" w:hRule="atLeast"/>
          <w:jc w:val="center"/>
        </w:trPr>
        <w:tc>
          <w:tcPr>
            <w:tcW w:w="7751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 xml:space="preserve">附表一： </w:t>
            </w:r>
            <w:r>
              <w:rPr>
                <w:rFonts w:ascii="宋体" w:hAnsi="宋体" w:cs="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深圳市中医肛肠医院（福田）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彭氏多功能手术解剖器（电凝切）采购项目一览表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</w:p>
        </w:tc>
      </w:tr>
    </w:tbl>
    <w:p>
      <w:pPr>
        <w:rPr>
          <w:rFonts w:ascii="Cambria" w:hAnsi="Cambria"/>
          <w:vanish/>
        </w:rPr>
      </w:pPr>
    </w:p>
    <w:tbl>
      <w:tblPr>
        <w:tblStyle w:val="2"/>
        <w:tblpPr w:leftFromText="180" w:rightFromText="180" w:vertAnchor="text" w:horzAnchor="page" w:tblpX="2079" w:tblpY="26"/>
        <w:tblOverlap w:val="never"/>
        <w:tblW w:w="797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936"/>
        <w:gridCol w:w="3085"/>
        <w:gridCol w:w="1650"/>
        <w:gridCol w:w="10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品名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型号、规格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单价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彭氏多功能手术解剖器（电凝切）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S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Y-IIB(N)-1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SY-IIB(N)-2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S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Y-IIB(JN)-0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S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Y-IIIA(N)-1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S</w:t>
            </w:r>
            <w:r>
              <w:rPr>
                <w:rFonts w:ascii="宋体" w:hAnsi="宋体" w:cs="宋体"/>
                <w:color w:val="000000"/>
              </w:rPr>
              <w:t>Y-IIIB-1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SY-VIIC(Q)-6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S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Y-VIIC(Q)-5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52B9B"/>
    <w:rsid w:val="2C35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2020-08-03T00:32:00Z</dcterms:created>
  <dc:creator>SZTCMAH</dc:creator>
  <cp:lastModifiedBy>SZTCMAH</cp:lastModifiedBy>
  <dcterms:modified xsi:type="dcterms:W3CDTF">2020-08-03T00:32:30Z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