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276" w:lineRule="auto"/>
        <w:jc w:val="left"/>
        <w:rPr>
          <w:rFonts w:ascii="宋体" w:hAnsi="宋体" w:cs="宋体"/>
          <w:kern w:val="0"/>
        </w:rPr>
      </w:pPr>
      <w:bookmarkStart w:id="0" w:name="_GoBack"/>
      <w:bookmarkEnd w:id="0"/>
    </w:p>
    <w:p>
      <w:pPr>
        <w:widowControl/>
        <w:spacing w:line="276" w:lineRule="auto"/>
        <w:jc w:val="left"/>
        <w:rPr>
          <w:rFonts w:ascii="宋体" w:hAnsi="宋体"/>
          <w:b/>
          <w:kern w:val="0"/>
          <w:szCs w:val="20"/>
        </w:rPr>
      </w:pPr>
      <w:r>
        <w:rPr>
          <w:rFonts w:hint="eastAsia" w:ascii="宋体" w:hAnsi="宋体"/>
          <w:b/>
          <w:kern w:val="0"/>
          <w:szCs w:val="20"/>
        </w:rPr>
        <w:t>附表二：血气分析仪技术参数要求</w:t>
      </w:r>
    </w:p>
    <w:tbl>
      <w:tblPr>
        <w:tblStyle w:val="4"/>
        <w:tblW w:w="95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3"/>
        <w:gridCol w:w="1288"/>
        <w:gridCol w:w="75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743" w:type="dxa"/>
          </w:tcPr>
          <w:p>
            <w:pPr>
              <w:spacing w:line="400" w:lineRule="exact"/>
              <w:jc w:val="center"/>
              <w:rPr>
                <w:rFonts w:eastAsiaTheme="minorEastAsia"/>
                <w:b/>
                <w:bCs/>
                <w:szCs w:val="21"/>
              </w:rPr>
            </w:pPr>
            <w:r>
              <w:rPr>
                <w:rFonts w:hAnsiTheme="minorEastAsia" w:eastAsiaTheme="minorEastAsia"/>
                <w:b/>
                <w:bCs/>
                <w:szCs w:val="21"/>
              </w:rPr>
              <w:t>序号</w:t>
            </w:r>
          </w:p>
        </w:tc>
        <w:tc>
          <w:tcPr>
            <w:tcW w:w="1288" w:type="dxa"/>
          </w:tcPr>
          <w:p>
            <w:pPr>
              <w:spacing w:line="400" w:lineRule="exact"/>
              <w:jc w:val="center"/>
              <w:rPr>
                <w:rFonts w:eastAsiaTheme="minorEastAsia"/>
                <w:b/>
                <w:bCs/>
                <w:szCs w:val="21"/>
              </w:rPr>
            </w:pPr>
            <w:r>
              <w:rPr>
                <w:rFonts w:hAnsiTheme="minorEastAsia" w:eastAsiaTheme="minorEastAsia"/>
                <w:b/>
                <w:bCs/>
                <w:szCs w:val="21"/>
              </w:rPr>
              <w:t>货物名称</w:t>
            </w:r>
          </w:p>
        </w:tc>
        <w:tc>
          <w:tcPr>
            <w:tcW w:w="7552" w:type="dxa"/>
          </w:tcPr>
          <w:p>
            <w:pPr>
              <w:spacing w:line="400" w:lineRule="exact"/>
              <w:jc w:val="center"/>
              <w:rPr>
                <w:rFonts w:eastAsiaTheme="minorEastAsia"/>
                <w:b/>
                <w:bCs/>
                <w:szCs w:val="21"/>
              </w:rPr>
            </w:pPr>
            <w:r>
              <w:rPr>
                <w:rFonts w:hAnsiTheme="minorEastAsia" w:eastAsiaTheme="minorEastAsia"/>
                <w:b/>
                <w:bCs/>
                <w:szCs w:val="21"/>
              </w:rPr>
              <w:t>技术要求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743" w:type="dxa"/>
            <w:vMerge w:val="restart"/>
            <w:vAlign w:val="center"/>
          </w:tcPr>
          <w:p>
            <w:pPr>
              <w:pStyle w:val="8"/>
              <w:numPr>
                <w:ilvl w:val="1"/>
                <w:numId w:val="1"/>
              </w:numPr>
              <w:tabs>
                <w:tab w:val="left" w:pos="851"/>
              </w:tabs>
              <w:spacing w:line="400" w:lineRule="exact"/>
              <w:ind w:firstLineChars="0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eastAsiaTheme="minorEastAsia"/>
                <w:b/>
                <w:bCs/>
                <w:szCs w:val="21"/>
              </w:rPr>
            </w:pPr>
            <w:r>
              <w:rPr>
                <w:rFonts w:hint="eastAsia" w:hAnsiTheme="minorEastAsia" w:eastAsiaTheme="minorEastAsia"/>
                <w:b/>
                <w:bCs/>
                <w:szCs w:val="21"/>
              </w:rPr>
              <w:t>血气分析仪</w:t>
            </w:r>
          </w:p>
        </w:tc>
        <w:tc>
          <w:tcPr>
            <w:tcW w:w="7552" w:type="dxa"/>
          </w:tcPr>
          <w:p>
            <w:pPr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/>
              </w:rPr>
              <w:t>★1、测量参数：pH、PO2、PCO2、K+、Na+、Cl-、Ca2+、LAC、Hct。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743" w:type="dxa"/>
            <w:vMerge w:val="continue"/>
            <w:vAlign w:val="center"/>
          </w:tcPr>
          <w:p>
            <w:pPr>
              <w:pStyle w:val="8"/>
              <w:numPr>
                <w:ilvl w:val="1"/>
                <w:numId w:val="1"/>
              </w:numPr>
              <w:tabs>
                <w:tab w:val="left" w:pos="851"/>
              </w:tabs>
              <w:spacing w:line="400" w:lineRule="exact"/>
              <w:ind w:firstLineChars="0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AnsiTheme="minorEastAsia" w:eastAsiaTheme="minorEastAsia"/>
                <w:b/>
                <w:bCs/>
                <w:szCs w:val="21"/>
              </w:rPr>
            </w:pPr>
          </w:p>
        </w:tc>
        <w:tc>
          <w:tcPr>
            <w:tcW w:w="7552" w:type="dxa"/>
          </w:tcPr>
          <w:p>
            <w:r>
              <w:rPr>
                <w:rFonts w:hint="eastAsia"/>
              </w:rPr>
              <w:t>2、计算参数≥20项：cHCO3–(P)、cBase(B)、cBase(Ecf)、cBase(B,ox)、cBase(Ecf,ox)、ctCO2(B)、ctCO2(P)、cHCO3–(P,st)、ctHb、ctO2、sO2、pO2(A)、pO2(A-a)、pO2(a/A)、R/I、pH (T)、pCO2 (T)、pO2 (T)、pO2(A, T)、pO2(A-a, T)、pO2(a/A, T)、R/I (T)、mOsm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743" w:type="dxa"/>
            <w:vMerge w:val="continue"/>
            <w:vAlign w:val="center"/>
          </w:tcPr>
          <w:p>
            <w:pPr>
              <w:pStyle w:val="8"/>
              <w:numPr>
                <w:ilvl w:val="1"/>
                <w:numId w:val="1"/>
              </w:numPr>
              <w:tabs>
                <w:tab w:val="left" w:pos="851"/>
              </w:tabs>
              <w:spacing w:line="400" w:lineRule="exact"/>
              <w:ind w:firstLineChars="0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AnsiTheme="minorEastAsia" w:eastAsiaTheme="minorEastAsia"/>
                <w:b/>
                <w:bCs/>
                <w:szCs w:val="21"/>
              </w:rPr>
            </w:pPr>
          </w:p>
        </w:tc>
        <w:tc>
          <w:tcPr>
            <w:tcW w:w="7552" w:type="dxa"/>
          </w:tcPr>
          <w:p>
            <w:r>
              <w:rPr>
                <w:rFonts w:hint="eastAsia"/>
              </w:rPr>
              <w:t>3、样本量: ≤80ul；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743" w:type="dxa"/>
            <w:vMerge w:val="continue"/>
            <w:vAlign w:val="center"/>
          </w:tcPr>
          <w:p>
            <w:pPr>
              <w:pStyle w:val="8"/>
              <w:numPr>
                <w:ilvl w:val="1"/>
                <w:numId w:val="1"/>
              </w:numPr>
              <w:tabs>
                <w:tab w:val="left" w:pos="851"/>
              </w:tabs>
              <w:spacing w:line="400" w:lineRule="exact"/>
              <w:ind w:firstLineChars="0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AnsiTheme="minorEastAsia" w:eastAsiaTheme="minorEastAsia"/>
                <w:b/>
                <w:bCs/>
                <w:szCs w:val="21"/>
              </w:rPr>
            </w:pPr>
          </w:p>
        </w:tc>
        <w:tc>
          <w:tcPr>
            <w:tcW w:w="7552" w:type="dxa"/>
          </w:tcPr>
          <w:p>
            <w:r>
              <w:rPr>
                <w:rFonts w:hint="eastAsia"/>
              </w:rPr>
              <w:t>4、定标类型:自动2点液体定标，可自行设定定标时间间隔和频率；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743" w:type="dxa"/>
            <w:vMerge w:val="continue"/>
            <w:vAlign w:val="center"/>
          </w:tcPr>
          <w:p>
            <w:pPr>
              <w:pStyle w:val="8"/>
              <w:numPr>
                <w:ilvl w:val="1"/>
                <w:numId w:val="1"/>
              </w:numPr>
              <w:tabs>
                <w:tab w:val="left" w:pos="851"/>
              </w:tabs>
              <w:spacing w:line="400" w:lineRule="exact"/>
              <w:ind w:firstLineChars="0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AnsiTheme="minorEastAsia" w:eastAsiaTheme="minorEastAsia"/>
                <w:b/>
                <w:bCs/>
                <w:szCs w:val="21"/>
              </w:rPr>
            </w:pPr>
          </w:p>
        </w:tc>
        <w:tc>
          <w:tcPr>
            <w:tcW w:w="7552" w:type="dxa"/>
          </w:tcPr>
          <w:p>
            <w:pPr>
              <w:rPr>
                <w:b/>
                <w:bCs/>
              </w:rPr>
            </w:pPr>
            <w:r>
              <w:rPr>
                <w:rFonts w:hint="eastAsia"/>
              </w:rPr>
              <w:t>5、</w:t>
            </w:r>
            <w:r>
              <w:rPr>
                <w:rFonts w:hint="eastAsia" w:ascii="宋体" w:hAnsi="宋体"/>
                <w:szCs w:val="21"/>
              </w:rPr>
              <w:t>进样方式:</w:t>
            </w:r>
            <w:r>
              <w:rPr>
                <w:rFonts w:hint="eastAsia"/>
              </w:rPr>
              <w:t>自动封闭式吸入进样；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743" w:type="dxa"/>
            <w:vMerge w:val="continue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7552" w:type="dxa"/>
          </w:tcPr>
          <w:p>
            <w:pPr>
              <w:rPr>
                <w:color w:val="FF0000"/>
                <w:szCs w:val="21"/>
              </w:rPr>
            </w:pPr>
            <w:r>
              <w:rPr>
                <w:rFonts w:hint="eastAsia"/>
              </w:rPr>
              <w:t>★6、</w:t>
            </w:r>
            <w:r>
              <w:rPr>
                <w:rFonts w:hint="eastAsia" w:ascii="宋体" w:hAnsi="宋体"/>
                <w:szCs w:val="21"/>
              </w:rPr>
              <w:t>样本方式：注射器、毛细管、试管、安瓿瓶；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743" w:type="dxa"/>
            <w:vMerge w:val="continue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7552" w:type="dxa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>
              <w:t>7</w:t>
            </w:r>
            <w:r>
              <w:rPr>
                <w:rFonts w:hint="eastAsia"/>
              </w:rPr>
              <w:t>、</w:t>
            </w:r>
            <w:r>
              <w:rPr>
                <w:rFonts w:hint="eastAsia" w:ascii="宋体" w:hAnsi="宋体"/>
                <w:szCs w:val="21"/>
              </w:rPr>
              <w:t>样本种类：全血、血清、血浆、透析液、胸腹水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743" w:type="dxa"/>
            <w:vMerge w:val="continue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7552" w:type="dxa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/>
              </w:rPr>
              <w:t>8、</w:t>
            </w:r>
            <w:r>
              <w:rPr>
                <w:rFonts w:hint="eastAsia" w:ascii="宋体" w:hAnsi="宋体"/>
                <w:szCs w:val="21"/>
              </w:rPr>
              <w:t>检测速度: 循环时间≤120秒；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743" w:type="dxa"/>
            <w:vMerge w:val="continue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7552" w:type="dxa"/>
          </w:tcPr>
          <w:p>
            <w:pPr>
              <w:rPr>
                <w:rFonts w:ascii="宋体" w:hAnsi="宋体" w:cs="宋体"/>
                <w:color w:val="FF0000"/>
                <w:szCs w:val="21"/>
              </w:rPr>
            </w:pPr>
            <w:r>
              <w:rPr>
                <w:rFonts w:hint="eastAsia"/>
              </w:rPr>
              <w:t>▲</w:t>
            </w:r>
            <w:r>
              <w:t>9</w:t>
            </w:r>
            <w:r>
              <w:rPr>
                <w:rFonts w:hint="eastAsia"/>
              </w:rPr>
              <w:t>、测试原理：微型电化学技术（厚膜技术），测试卡与试剂包分离；单一电极盒完成多项参数的检测；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743" w:type="dxa"/>
            <w:vMerge w:val="continue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7552" w:type="dxa"/>
          </w:tcPr>
          <w:p>
            <w:pPr>
              <w:rPr>
                <w:color w:val="FF0000"/>
                <w:szCs w:val="21"/>
              </w:rPr>
            </w:pPr>
            <w:r>
              <w:rPr>
                <w:rFonts w:hint="eastAsia"/>
              </w:rPr>
              <w:t>▲</w:t>
            </w:r>
            <w:r>
              <w:t>10</w:t>
            </w:r>
            <w:r>
              <w:rPr>
                <w:rFonts w:hint="eastAsia"/>
              </w:rPr>
              <w:t>、测试卡类型：多人份测试的电极卡（25/50/100/200/300人份），可根据需要自由选择不同参数和类型的测试卡；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743" w:type="dxa"/>
            <w:vMerge w:val="continue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7552" w:type="dxa"/>
          </w:tcPr>
          <w:p>
            <w:pPr>
              <w:rPr>
                <w:rFonts w:ascii="宋体" w:hAnsi="宋体" w:cs="宋体"/>
                <w:color w:val="FF0000"/>
                <w:szCs w:val="21"/>
              </w:rPr>
            </w:pPr>
            <w:r>
              <w:t>11</w:t>
            </w:r>
            <w:r>
              <w:rPr>
                <w:rFonts w:hint="eastAsia"/>
              </w:rPr>
              <w:t>、质控：能提供2种质控方式选择：内置自动质控系统：将定标、质控和系统检查合三为一；传统液体质控，能提供4个水平的原厂质控品；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743" w:type="dxa"/>
            <w:vMerge w:val="continue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7552" w:type="dxa"/>
          </w:tcPr>
          <w:p>
            <w:pPr>
              <w:rPr>
                <w:rFonts w:ascii="宋体" w:hAnsi="宋体" w:cs="宋体"/>
                <w:color w:val="FF0000"/>
                <w:szCs w:val="21"/>
              </w:rPr>
            </w:pPr>
            <w:r>
              <w:t>12</w:t>
            </w:r>
            <w:r>
              <w:rPr>
                <w:rFonts w:hint="eastAsia"/>
              </w:rPr>
              <w:t>、消耗品存储温度及效期：室温：测试卡≥120天，试剂包≥120天；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743" w:type="dxa"/>
            <w:vMerge w:val="continue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7552" w:type="dxa"/>
          </w:tcPr>
          <w:p>
            <w:pPr>
              <w:rPr>
                <w:color w:val="FF0000"/>
                <w:szCs w:val="21"/>
              </w:rPr>
            </w:pPr>
            <w:r>
              <w:t>13</w:t>
            </w:r>
            <w:r>
              <w:rPr>
                <w:rFonts w:hint="eastAsia"/>
              </w:rPr>
              <w:t>、测试卡/试剂包效期：上机有效期含乳酸≥30天，不含乳酸≥60天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743" w:type="dxa"/>
            <w:vMerge w:val="continue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7552" w:type="dxa"/>
          </w:tcPr>
          <w:p>
            <w:pPr>
              <w:rPr>
                <w:rFonts w:ascii="宋体" w:hAnsi="宋体" w:cs="宋体"/>
                <w:color w:val="FF0000"/>
                <w:szCs w:val="21"/>
              </w:rPr>
            </w:pPr>
            <w:r>
              <w:t>14</w:t>
            </w:r>
            <w:r>
              <w:rPr>
                <w:rFonts w:hint="eastAsia"/>
              </w:rPr>
              <w:t>、用户界面：彩色大触摸屏，中文菜单，windows XP操作系统，内置语音教学软件系统；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743" w:type="dxa"/>
            <w:vMerge w:val="continue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7552" w:type="dxa"/>
          </w:tcPr>
          <w:p>
            <w:pPr>
              <w:rPr>
                <w:color w:val="FF0000"/>
                <w:szCs w:val="21"/>
              </w:rPr>
            </w:pPr>
            <w:r>
              <w:t>15</w:t>
            </w:r>
            <w:r>
              <w:rPr>
                <w:rFonts w:hint="eastAsia"/>
              </w:rPr>
              <w:t>、开机时间：≤8分钟；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743" w:type="dxa"/>
            <w:vMerge w:val="continue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7552" w:type="dxa"/>
          </w:tcPr>
          <w:p>
            <w:pPr>
              <w:rPr>
                <w:color w:val="FF0000"/>
                <w:szCs w:val="21"/>
              </w:rPr>
            </w:pPr>
            <w:r>
              <w:t>16</w:t>
            </w:r>
            <w:r>
              <w:rPr>
                <w:rFonts w:hint="eastAsia"/>
              </w:rPr>
              <w:t>、数据输出：内置热敏打印机可随时打印报告；标配各种国际标准接口如RS232等，可与医院LIS系统联网；</w:t>
            </w:r>
          </w:p>
        </w:tc>
      </w:tr>
    </w:tbl>
    <w:p>
      <w:pPr>
        <w:widowControl/>
        <w:jc w:val="left"/>
        <w:rPr>
          <w:b/>
        </w:rPr>
      </w:pPr>
    </w:p>
    <w:p>
      <w:pPr>
        <w:widowControl/>
        <w:spacing w:line="360" w:lineRule="auto"/>
        <w:jc w:val="left"/>
        <w:rPr>
          <w:rFonts w:ascii="Courier New" w:hAnsi="Courier New"/>
          <w:b/>
          <w:szCs w:val="20"/>
        </w:rPr>
      </w:pPr>
      <w:r>
        <w:rPr>
          <w:rFonts w:hint="eastAsia" w:ascii="Courier New" w:hAnsi="Courier New"/>
          <w:b/>
          <w:szCs w:val="20"/>
        </w:rPr>
        <w:t>备注：加注 “▲” 的条款为重要技术条款，如负偏离将导致严重扣分。</w:t>
      </w:r>
    </w:p>
    <w:p>
      <w:pPr>
        <w:widowControl/>
        <w:spacing w:line="360" w:lineRule="auto"/>
        <w:jc w:val="left"/>
        <w:rPr>
          <w:rFonts w:ascii="Courier New" w:hAnsi="Courier New"/>
          <w:b/>
          <w:szCs w:val="20"/>
        </w:rPr>
      </w:pPr>
    </w:p>
    <w:p>
      <w:pPr>
        <w:widowControl/>
        <w:spacing w:line="360" w:lineRule="auto"/>
        <w:jc w:val="left"/>
        <w:rPr>
          <w:rFonts w:ascii="Courier New" w:hAnsi="Courier New"/>
          <w:b/>
          <w:szCs w:val="20"/>
        </w:rPr>
      </w:pPr>
    </w:p>
    <w:p>
      <w:pPr>
        <w:widowControl/>
        <w:spacing w:line="360" w:lineRule="auto"/>
        <w:jc w:val="left"/>
        <w:rPr>
          <w:rFonts w:ascii="Courier New" w:hAnsi="Courier New"/>
          <w:b/>
          <w:szCs w:val="2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F07531"/>
    <w:multiLevelType w:val="multilevel"/>
    <w:tmpl w:val="59F07531"/>
    <w:lvl w:ilvl="0" w:tentative="0">
      <w:start w:val="1"/>
      <w:numFmt w:val="decimal"/>
      <w:lvlText w:val="%1."/>
      <w:lvlJc w:val="left"/>
      <w:pPr>
        <w:ind w:left="851" w:hanging="851"/>
      </w:pPr>
      <w:rPr>
        <w:rFonts w:hint="eastAsia"/>
      </w:rPr>
    </w:lvl>
    <w:lvl w:ilvl="1" w:tentative="0">
      <w:start w:val="1"/>
      <w:numFmt w:val="decimal"/>
      <w:lvlText w:val="%1.%2."/>
      <w:lvlJc w:val="left"/>
      <w:pPr>
        <w:ind w:left="851" w:hanging="851"/>
      </w:pPr>
      <w:rPr>
        <w:rFonts w:hint="default" w:ascii="Times New Roman" w:hAnsi="Times New Roman" w:cs="Times New Roman"/>
        <w:b w:val="0"/>
      </w:rPr>
    </w:lvl>
    <w:lvl w:ilvl="2" w:tentative="0">
      <w:start w:val="1"/>
      <w:numFmt w:val="decimal"/>
      <w:lvlText w:val="%1.%2.%3."/>
      <w:lvlJc w:val="left"/>
      <w:pPr>
        <w:ind w:left="851" w:hanging="851"/>
      </w:pPr>
      <w:rPr>
        <w:rFonts w:hint="default" w:ascii="Times New Roman" w:hAnsi="Times New Roman" w:cs="Times New Roman"/>
        <w:b w:val="0"/>
        <w:color w:val="auto"/>
      </w:rPr>
    </w:lvl>
    <w:lvl w:ilvl="3" w:tentative="0">
      <w:start w:val="1"/>
      <w:numFmt w:val="decimal"/>
      <w:lvlText w:val="%1.%2.%3.%4."/>
      <w:lvlJc w:val="left"/>
      <w:pPr>
        <w:ind w:left="851" w:hanging="851"/>
      </w:pPr>
      <w:rPr>
        <w:rFonts w:hint="default" w:ascii="Times New Roman" w:hAnsi="Times New Roman" w:eastAsia="宋体" w:cs="Times New Roman"/>
        <w:b w:val="0"/>
      </w:rPr>
    </w:lvl>
    <w:lvl w:ilvl="4" w:tentative="0">
      <w:start w:val="1"/>
      <w:numFmt w:val="decimal"/>
      <w:lvlText w:val="%1.%2.%3.%4.%5."/>
      <w:lvlJc w:val="left"/>
      <w:pPr>
        <w:ind w:left="992" w:hanging="992"/>
      </w:pPr>
      <w:rPr>
        <w:rFonts w:hint="eastAsia"/>
        <w:b w:val="0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254"/>
    <w:rsid w:val="00397254"/>
    <w:rsid w:val="005106EF"/>
    <w:rsid w:val="00974565"/>
    <w:rsid w:val="00C147A7"/>
    <w:rsid w:val="00FA2E9D"/>
    <w:rsid w:val="5369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  <w:style w:type="paragraph" w:customStyle="1" w:styleId="8">
    <w:name w:val="列出段落1"/>
    <w:basedOn w:val="1"/>
    <w:qFormat/>
    <w:uiPriority w:val="0"/>
    <w:pPr>
      <w:ind w:firstLine="420" w:firstLineChars="200"/>
    </w:pPr>
    <w:rPr>
      <w:sz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130</Words>
  <Characters>743</Characters>
  <Lines>6</Lines>
  <Paragraphs>1</Paragraphs>
  <TotalTime>0</TotalTime>
  <ScaleCrop>false</ScaleCrop>
  <LinksUpToDate>false</LinksUpToDate>
  <CharactersWithSpaces>872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2020-09-07T00:21:00Z</dcterms:created>
  <dc:creator>Admin</dc:creator>
  <cp:lastModifiedBy>SZTCMAH</cp:lastModifiedBy>
  <dcterms:modified xsi:type="dcterms:W3CDTF">2020-09-07T00:34:22Z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