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outlineLvl w:val="0"/>
        <w:rPr>
          <w:color w:val="FF0000"/>
          <w:lang w:eastAsia="zh-CN"/>
        </w:rPr>
      </w:pPr>
      <w:r>
        <w:rPr>
          <w:rFonts w:hint="eastAsia"/>
          <w:b/>
          <w:bCs/>
          <w:sz w:val="28"/>
          <w:szCs w:val="28"/>
          <w:lang w:eastAsia="zh-CN"/>
        </w:rPr>
        <w:t>用户需求书</w:t>
      </w:r>
    </w:p>
    <w:p>
      <w:pPr>
        <w:numPr>
          <w:ilvl w:val="0"/>
          <w:numId w:val="1"/>
        </w:numPr>
        <w:ind w:firstLine="0"/>
        <w:outlineLvl w:val="1"/>
        <w:rPr>
          <w:b/>
          <w:bCs/>
          <w:sz w:val="24"/>
          <w:szCs w:val="24"/>
        </w:rPr>
      </w:pPr>
      <w:r>
        <w:rPr>
          <w:rFonts w:hint="eastAsia"/>
          <w:b/>
          <w:bCs/>
          <w:sz w:val="24"/>
          <w:szCs w:val="24"/>
        </w:rPr>
        <w:t>项目概况</w:t>
      </w:r>
    </w:p>
    <w:p/>
    <w:p>
      <w:pPr>
        <w:spacing w:line="360" w:lineRule="auto"/>
        <w:ind w:firstLine="420"/>
        <w:rPr>
          <w:rFonts w:ascii="宋体" w:hAnsi="宋体" w:eastAsia="宋体" w:cs="宋体"/>
          <w:sz w:val="24"/>
          <w:szCs w:val="24"/>
          <w:lang w:eastAsia="zh-CN"/>
        </w:rPr>
      </w:pPr>
      <w:r>
        <w:rPr>
          <w:rFonts w:hint="eastAsia" w:ascii="宋体" w:hAnsi="宋体" w:eastAsia="宋体" w:cs="宋体"/>
          <w:sz w:val="24"/>
          <w:szCs w:val="24"/>
          <w:lang w:eastAsia="zh-CN"/>
        </w:rPr>
        <w:t>为保证深圳市中医肛肠医院（福田）能顺利将会议设备、安防监控设备、空调和热水器等一批资产搬迁至安托山方舱医院，且在搬入后能迅速进入正常办公状态，以“分步实施、各负其责、共同作业、平安有序”为搬迁原则，做到保证医疗过程的连续与平安，保证各项工作衔接的有序无缝，保证搬迁过程医疗安全和搬迁后医疗业务快速恢复。</w:t>
      </w:r>
      <w:r>
        <w:rPr>
          <w:rFonts w:hint="eastAsia" w:ascii="宋体" w:hAnsi="宋体" w:eastAsia="宋体" w:cs="宋体"/>
          <w:sz w:val="24"/>
          <w:szCs w:val="24"/>
          <w:highlight w:val="yellow"/>
          <w:lang w:eastAsia="zh-CN"/>
        </w:rPr>
        <w:t>其中安托山方舱医院的网络、安防监控、视听会议等3项系统，需要服务商派遣具备各专业技术人员</w:t>
      </w:r>
      <w:r>
        <w:rPr>
          <w:rFonts w:hint="eastAsia" w:ascii="宋体" w:hAnsi="宋体" w:eastAsia="宋体" w:cs="宋体"/>
          <w:bCs/>
          <w:color w:val="000000" w:themeColor="text1"/>
          <w:sz w:val="24"/>
          <w:szCs w:val="24"/>
          <w:highlight w:val="yellow"/>
          <w:lang w:eastAsia="zh-CN"/>
          <w14:textFill>
            <w14:solidFill>
              <w14:schemeClr w14:val="tx1"/>
            </w14:solidFill>
          </w14:textFill>
        </w:rPr>
        <w:t>进行规划设计，安装调试、直至设备正常使用。</w:t>
      </w:r>
    </w:p>
    <w:p>
      <w:pPr>
        <w:rPr>
          <w:rFonts w:ascii="宋体" w:hAnsi="宋体" w:eastAsia="宋体" w:cs="宋体"/>
          <w:b/>
          <w:sz w:val="24"/>
          <w:szCs w:val="24"/>
          <w:lang w:eastAsia="zh-CN"/>
        </w:rPr>
      </w:pPr>
    </w:p>
    <w:p>
      <w:pPr>
        <w:numPr>
          <w:ilvl w:val="0"/>
          <w:numId w:val="1"/>
        </w:numPr>
        <w:ind w:firstLine="0"/>
        <w:outlineLvl w:val="1"/>
        <w:rPr>
          <w:b/>
          <w:bCs/>
          <w:sz w:val="24"/>
          <w:szCs w:val="24"/>
          <w:lang w:eastAsia="zh-CN"/>
        </w:rPr>
      </w:pPr>
      <w:r>
        <w:rPr>
          <w:rFonts w:hint="eastAsia"/>
          <w:b/>
          <w:bCs/>
          <w:sz w:val="24"/>
          <w:szCs w:val="24"/>
          <w:lang w:eastAsia="zh-CN"/>
        </w:rPr>
        <w:t>采购项目需求</w:t>
      </w:r>
    </w:p>
    <w:p>
      <w:pPr>
        <w:pStyle w:val="2"/>
        <w:rPr>
          <w:lang w:eastAsia="zh-CN"/>
        </w:rPr>
      </w:pPr>
      <w:r>
        <w:rPr>
          <w:rFonts w:hint="eastAsia" w:ascii="宋体" w:hAnsi="宋体" w:eastAsia="宋体" w:cs="宋体"/>
          <w:b/>
          <w:sz w:val="24"/>
          <w:szCs w:val="24"/>
          <w:lang w:eastAsia="zh-CN"/>
        </w:rPr>
        <w:t>（一）采购需求清单</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897"/>
        <w:gridCol w:w="1747"/>
        <w:gridCol w:w="2654"/>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953" w:type="pct"/>
            <w:tcBorders>
              <w:top w:val="single" w:color="auto" w:sz="4" w:space="0"/>
              <w:left w:val="single" w:color="auto" w:sz="4" w:space="0"/>
              <w:right w:val="single" w:color="auto" w:sz="4" w:space="0"/>
            </w:tcBorders>
            <w:shd w:val="clear" w:color="auto" w:fill="EEECE1"/>
            <w:vAlign w:val="center"/>
          </w:tcPr>
          <w:p>
            <w:pPr>
              <w:widowControl w:val="0"/>
              <w:kinsoku/>
              <w:autoSpaceDE/>
              <w:autoSpaceDN/>
              <w:jc w:val="center"/>
              <w:rPr>
                <w:rFonts w:ascii="宋体" w:hAnsi="宋体" w:eastAsia="宋体" w:cs="宋体"/>
                <w:b/>
              </w:rPr>
            </w:pPr>
            <w:r>
              <w:rPr>
                <w:rFonts w:hint="eastAsia" w:ascii="宋体" w:hAnsi="宋体" w:eastAsia="宋体" w:cs="宋体"/>
                <w:b/>
                <w:lang w:eastAsia="zh-CN"/>
              </w:rPr>
              <w:t>项目</w:t>
            </w:r>
            <w:r>
              <w:rPr>
                <w:rFonts w:hint="eastAsia" w:ascii="宋体" w:hAnsi="宋体" w:eastAsia="宋体" w:cs="宋体"/>
                <w:b/>
              </w:rPr>
              <w:t>内容</w:t>
            </w:r>
          </w:p>
        </w:tc>
        <w:tc>
          <w:tcPr>
            <w:tcW w:w="526" w:type="pct"/>
            <w:tcBorders>
              <w:top w:val="single" w:color="auto" w:sz="4" w:space="0"/>
              <w:left w:val="single" w:color="auto" w:sz="4" w:space="0"/>
              <w:right w:val="single" w:color="auto" w:sz="4" w:space="0"/>
            </w:tcBorders>
            <w:shd w:val="clear" w:color="auto" w:fill="EEECE1"/>
            <w:vAlign w:val="center"/>
          </w:tcPr>
          <w:p>
            <w:pPr>
              <w:widowControl w:val="0"/>
              <w:kinsoku/>
              <w:autoSpaceDE/>
              <w:autoSpaceDN/>
              <w:jc w:val="center"/>
              <w:rPr>
                <w:rFonts w:ascii="宋体" w:hAnsi="宋体" w:eastAsia="宋体" w:cs="宋体"/>
                <w:b/>
              </w:rPr>
            </w:pPr>
            <w:r>
              <w:rPr>
                <w:rFonts w:hint="eastAsia" w:ascii="宋体" w:hAnsi="宋体" w:eastAsia="宋体" w:cs="宋体"/>
                <w:b/>
              </w:rPr>
              <w:t>数量</w:t>
            </w:r>
          </w:p>
        </w:tc>
        <w:tc>
          <w:tcPr>
            <w:tcW w:w="1025" w:type="pct"/>
            <w:tcBorders>
              <w:top w:val="single" w:color="auto" w:sz="4" w:space="0"/>
              <w:left w:val="single" w:color="auto" w:sz="4" w:space="0"/>
              <w:right w:val="single" w:color="auto" w:sz="4" w:space="0"/>
            </w:tcBorders>
            <w:shd w:val="clear" w:color="auto" w:fill="EEECE1"/>
            <w:vAlign w:val="center"/>
          </w:tcPr>
          <w:p>
            <w:pPr>
              <w:widowControl w:val="0"/>
              <w:kinsoku/>
              <w:autoSpaceDE/>
              <w:autoSpaceDN/>
              <w:jc w:val="center"/>
              <w:rPr>
                <w:rFonts w:ascii="宋体" w:hAnsi="宋体" w:eastAsia="宋体" w:cs="宋体"/>
                <w:b/>
                <w:lang w:eastAsia="zh-CN"/>
              </w:rPr>
            </w:pPr>
            <w:r>
              <w:rPr>
                <w:rFonts w:hint="eastAsia" w:ascii="宋体" w:hAnsi="宋体" w:eastAsia="宋体" w:cs="宋体"/>
                <w:b/>
                <w:lang w:eastAsia="zh-CN"/>
              </w:rPr>
              <w:t>预算金额（人民币元）</w:t>
            </w:r>
          </w:p>
        </w:tc>
        <w:tc>
          <w:tcPr>
            <w:tcW w:w="1557" w:type="pct"/>
            <w:tcBorders>
              <w:top w:val="single" w:color="auto" w:sz="4" w:space="0"/>
              <w:left w:val="single" w:color="auto" w:sz="4" w:space="0"/>
              <w:right w:val="single" w:color="auto" w:sz="4" w:space="0"/>
            </w:tcBorders>
            <w:shd w:val="clear" w:color="auto" w:fill="EEECE1"/>
            <w:vAlign w:val="center"/>
          </w:tcPr>
          <w:p>
            <w:pPr>
              <w:widowControl w:val="0"/>
              <w:kinsoku/>
              <w:autoSpaceDE/>
              <w:autoSpaceDN/>
              <w:jc w:val="center"/>
              <w:rPr>
                <w:rFonts w:ascii="宋体" w:hAnsi="宋体" w:eastAsia="宋体" w:cs="宋体"/>
                <w:b/>
              </w:rPr>
            </w:pPr>
            <w:r>
              <w:rPr>
                <w:rFonts w:hint="eastAsia" w:ascii="宋体" w:hAnsi="宋体" w:eastAsia="宋体" w:cs="宋体"/>
                <w:b/>
                <w:lang w:eastAsia="zh-CN"/>
              </w:rPr>
              <w:t>工程</w:t>
            </w:r>
            <w:r>
              <w:rPr>
                <w:rFonts w:hint="eastAsia" w:ascii="宋体" w:hAnsi="宋体" w:eastAsia="宋体" w:cs="宋体"/>
                <w:b/>
              </w:rPr>
              <w:t>期限</w:t>
            </w:r>
          </w:p>
        </w:tc>
        <w:tc>
          <w:tcPr>
            <w:tcW w:w="937" w:type="pct"/>
            <w:tcBorders>
              <w:top w:val="single" w:color="auto" w:sz="4" w:space="0"/>
              <w:left w:val="single" w:color="auto" w:sz="4" w:space="0"/>
              <w:right w:val="single" w:color="auto" w:sz="4" w:space="0"/>
            </w:tcBorders>
            <w:shd w:val="clear" w:color="auto" w:fill="EEECE1"/>
            <w:vAlign w:val="center"/>
          </w:tcPr>
          <w:p>
            <w:pPr>
              <w:widowControl w:val="0"/>
              <w:kinsoku/>
              <w:autoSpaceDE/>
              <w:autoSpaceDN/>
              <w:jc w:val="center"/>
              <w:rPr>
                <w:rFonts w:ascii="宋体" w:hAnsi="宋体" w:eastAsia="宋体" w:cs="宋体"/>
                <w:b/>
                <w:lang w:eastAsia="zh-CN"/>
              </w:rPr>
            </w:pPr>
            <w:r>
              <w:rPr>
                <w:rFonts w:hint="eastAsia" w:ascii="宋体" w:hAnsi="宋体" w:eastAsia="宋体" w:cs="宋体"/>
                <w:b/>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953" w:type="pct"/>
            <w:tcBorders>
              <w:left w:val="single" w:color="auto" w:sz="4" w:space="0"/>
              <w:right w:val="single" w:color="auto" w:sz="4" w:space="0"/>
            </w:tcBorders>
            <w:shd w:val="clear" w:color="auto" w:fill="auto"/>
            <w:vAlign w:val="center"/>
          </w:tcPr>
          <w:p>
            <w:pPr>
              <w:widowControl w:val="0"/>
              <w:kinsoku/>
              <w:autoSpaceDE/>
              <w:autoSpaceDN/>
              <w:jc w:val="center"/>
              <w:rPr>
                <w:rFonts w:hint="default" w:ascii="宋体" w:hAnsi="宋体" w:eastAsia="宋体" w:cs="宋体"/>
                <w:bCs/>
                <w:lang w:val="en-US" w:eastAsia="zh-CN"/>
              </w:rPr>
            </w:pPr>
            <w:r>
              <w:rPr>
                <w:rFonts w:hint="eastAsia" w:ascii="宋体" w:hAnsi="宋体" w:eastAsia="宋体" w:cs="宋体"/>
                <w:lang w:eastAsia="zh-CN"/>
              </w:rPr>
              <w:t>会议设备、安防监控设备、空调和热水器等拆装工程</w:t>
            </w:r>
            <w:bookmarkStart w:id="0" w:name="_GoBack"/>
            <w:bookmarkEnd w:id="0"/>
          </w:p>
        </w:tc>
        <w:tc>
          <w:tcPr>
            <w:tcW w:w="526" w:type="pct"/>
            <w:tcBorders>
              <w:left w:val="single" w:color="auto" w:sz="4" w:space="0"/>
              <w:right w:val="single" w:color="auto" w:sz="4" w:space="0"/>
            </w:tcBorders>
            <w:shd w:val="clear" w:color="auto" w:fill="auto"/>
            <w:vAlign w:val="center"/>
          </w:tcPr>
          <w:p>
            <w:pPr>
              <w:widowControl w:val="0"/>
              <w:kinsoku/>
              <w:autoSpaceDE/>
              <w:autoSpaceDN/>
              <w:jc w:val="center"/>
              <w:rPr>
                <w:rFonts w:ascii="宋体" w:hAnsi="宋体" w:eastAsia="宋体" w:cs="宋体"/>
                <w:bCs/>
                <w:lang w:eastAsia="zh-CN"/>
              </w:rPr>
            </w:pPr>
            <w:r>
              <w:rPr>
                <w:rFonts w:hint="eastAsia" w:ascii="宋体" w:hAnsi="宋体" w:eastAsia="宋体" w:cs="宋体"/>
                <w:bCs/>
                <w:lang w:eastAsia="zh-CN"/>
              </w:rPr>
              <w:t>1项</w:t>
            </w:r>
          </w:p>
        </w:tc>
        <w:tc>
          <w:tcPr>
            <w:tcW w:w="1025" w:type="pct"/>
            <w:tcBorders>
              <w:left w:val="single" w:color="auto" w:sz="4" w:space="0"/>
              <w:right w:val="single" w:color="auto" w:sz="4" w:space="0"/>
            </w:tcBorders>
            <w:shd w:val="clear" w:color="auto" w:fill="auto"/>
            <w:vAlign w:val="center"/>
          </w:tcPr>
          <w:p>
            <w:pPr>
              <w:pStyle w:val="6"/>
              <w:widowControl w:val="0"/>
              <w:kinsoku/>
              <w:autoSpaceDE/>
              <w:autoSpaceDN/>
              <w:spacing w:before="0" w:after="0" w:line="240" w:lineRule="auto"/>
              <w:rPr>
                <w:rFonts w:ascii="宋体" w:hAnsi="宋体" w:eastAsia="宋体" w:cs="宋体"/>
                <w:snapToGrid/>
                <w:spacing w:val="0"/>
                <w:kern w:val="2"/>
                <w:sz w:val="21"/>
                <w:szCs w:val="21"/>
                <w:lang w:eastAsia="zh-CN"/>
              </w:rPr>
            </w:pPr>
          </w:p>
        </w:tc>
        <w:tc>
          <w:tcPr>
            <w:tcW w:w="1557" w:type="pct"/>
            <w:tcBorders>
              <w:left w:val="single" w:color="auto" w:sz="4" w:space="0"/>
              <w:right w:val="single" w:color="auto" w:sz="4" w:space="0"/>
            </w:tcBorders>
            <w:shd w:val="clear" w:color="auto" w:fill="auto"/>
            <w:vAlign w:val="center"/>
          </w:tcPr>
          <w:p>
            <w:pPr>
              <w:pStyle w:val="6"/>
              <w:widowControl w:val="0"/>
              <w:kinsoku/>
              <w:autoSpaceDE/>
              <w:autoSpaceDN/>
              <w:spacing w:before="0" w:after="0" w:line="240" w:lineRule="auto"/>
              <w:rPr>
                <w:rFonts w:ascii="宋体" w:hAnsi="宋体" w:eastAsia="宋体" w:cs="宋体"/>
                <w:snapToGrid/>
                <w:spacing w:val="0"/>
                <w:kern w:val="2"/>
                <w:sz w:val="21"/>
                <w:szCs w:val="21"/>
                <w:lang w:eastAsia="zh-CN"/>
              </w:rPr>
            </w:pPr>
            <w:r>
              <w:rPr>
                <w:rFonts w:hint="eastAsia" w:ascii="宋体" w:hAnsi="宋体" w:eastAsia="宋体" w:cs="宋体"/>
                <w:color w:val="auto"/>
                <w:sz w:val="21"/>
                <w:szCs w:val="21"/>
                <w:highlight w:val="yellow"/>
                <w:lang w:eastAsia="zh-CN"/>
              </w:rPr>
              <w:t>中标人</w:t>
            </w:r>
            <w:r>
              <w:rPr>
                <w:rFonts w:hint="eastAsia" w:ascii="宋体" w:hAnsi="宋体" w:eastAsia="宋体" w:cs="宋体"/>
                <w:bCs/>
                <w:color w:val="auto"/>
                <w:sz w:val="21"/>
                <w:szCs w:val="21"/>
                <w:highlight w:val="yellow"/>
                <w:lang w:val="zh-CN" w:eastAsia="zh-CN"/>
              </w:rPr>
              <w:t>在</w:t>
            </w:r>
            <w:r>
              <w:rPr>
                <w:rFonts w:hint="eastAsia" w:ascii="宋体" w:hAnsi="宋体" w:eastAsia="宋体" w:cs="宋体"/>
                <w:bCs/>
                <w:color w:val="auto"/>
                <w:sz w:val="21"/>
                <w:szCs w:val="21"/>
                <w:highlight w:val="yellow"/>
                <w:lang w:eastAsia="zh-CN"/>
              </w:rPr>
              <w:t>采购</w:t>
            </w:r>
            <w:r>
              <w:rPr>
                <w:rFonts w:hint="eastAsia" w:ascii="宋体" w:hAnsi="宋体" w:eastAsia="宋体" w:cs="宋体"/>
                <w:bCs/>
                <w:color w:val="auto"/>
                <w:sz w:val="21"/>
                <w:szCs w:val="21"/>
                <w:highlight w:val="yellow"/>
                <w:lang w:val="zh-CN" w:eastAsia="zh-CN"/>
              </w:rPr>
              <w:t>人发出搬迁通知启动搬迁工作后，</w:t>
            </w:r>
            <w:r>
              <w:rPr>
                <w:rFonts w:hint="eastAsia" w:ascii="宋体" w:hAnsi="宋体" w:eastAsia="宋体" w:cs="宋体"/>
                <w:bCs/>
                <w:color w:val="auto"/>
                <w:sz w:val="21"/>
                <w:szCs w:val="21"/>
                <w:highlight w:val="yellow"/>
                <w:lang w:eastAsia="zh-CN"/>
              </w:rPr>
              <w:t>80</w:t>
            </w:r>
            <w:r>
              <w:rPr>
                <w:rFonts w:hint="eastAsia" w:ascii="宋体" w:hAnsi="宋体" w:eastAsia="宋体" w:cs="宋体"/>
                <w:bCs/>
                <w:color w:val="auto"/>
                <w:sz w:val="21"/>
                <w:szCs w:val="21"/>
                <w:highlight w:val="yellow"/>
                <w:lang w:val="zh-CN" w:eastAsia="zh-CN"/>
              </w:rPr>
              <w:t>天内完成搬迁。</w:t>
            </w:r>
            <w:r>
              <w:rPr>
                <w:rFonts w:hint="eastAsia" w:ascii="宋体" w:hAnsi="宋体" w:eastAsia="宋体" w:cs="宋体"/>
                <w:bCs/>
                <w:color w:val="auto"/>
                <w:sz w:val="21"/>
                <w:szCs w:val="21"/>
                <w:highlight w:val="yellow"/>
                <w:lang w:eastAsia="zh-CN"/>
              </w:rPr>
              <w:t>特殊情况如场地原因、采购人要求等除外。</w:t>
            </w:r>
          </w:p>
        </w:tc>
        <w:tc>
          <w:tcPr>
            <w:tcW w:w="937" w:type="pct"/>
            <w:tcBorders>
              <w:left w:val="single" w:color="auto" w:sz="4" w:space="0"/>
              <w:right w:val="single" w:color="auto" w:sz="4" w:space="0"/>
            </w:tcBorders>
            <w:shd w:val="clear" w:color="auto" w:fill="auto"/>
            <w:vAlign w:val="center"/>
          </w:tcPr>
          <w:p>
            <w:pPr>
              <w:pStyle w:val="6"/>
              <w:widowControl w:val="0"/>
              <w:kinsoku/>
              <w:autoSpaceDE/>
              <w:autoSpaceDN/>
              <w:spacing w:before="0" w:after="0" w:line="240" w:lineRule="auto"/>
              <w:rPr>
                <w:rFonts w:ascii="宋体" w:hAnsi="宋体" w:eastAsia="宋体" w:cs="宋体"/>
                <w:bCs/>
                <w:color w:val="595959" w:themeColor="text1" w:themeTint="A6"/>
                <w:sz w:val="21"/>
                <w:szCs w:val="21"/>
                <w:highlight w:val="lightGray"/>
                <w:lang w:eastAsia="zh-CN"/>
                <w14:textFill>
                  <w14:solidFill>
                    <w14:schemeClr w14:val="tx1">
                      <w14:lumMod w14:val="65000"/>
                      <w14:lumOff w14:val="35000"/>
                    </w14:schemeClr>
                  </w14:solidFill>
                </w14:textFill>
              </w:rPr>
            </w:pPr>
          </w:p>
        </w:tc>
      </w:tr>
    </w:tbl>
    <w:p>
      <w:pPr>
        <w:pStyle w:val="2"/>
        <w:rPr>
          <w:rFonts w:ascii="宋体" w:hAnsi="宋体" w:eastAsia="宋体" w:cs="宋体"/>
          <w:b/>
          <w:sz w:val="24"/>
          <w:szCs w:val="24"/>
          <w:lang w:eastAsia="zh-CN"/>
        </w:rPr>
      </w:pPr>
      <w:r>
        <w:rPr>
          <w:rFonts w:hint="eastAsia" w:ascii="宋体" w:hAnsi="宋体" w:eastAsia="宋体" w:cs="宋体"/>
          <w:b/>
          <w:sz w:val="24"/>
          <w:szCs w:val="24"/>
          <w:lang w:eastAsia="zh-CN"/>
        </w:rPr>
        <w:t>（二）工程明细清单</w:t>
      </w:r>
    </w:p>
    <w:tbl>
      <w:tblPr>
        <w:tblStyle w:val="4"/>
        <w:tblW w:w="5236" w:type="pct"/>
        <w:tblInd w:w="-194" w:type="dxa"/>
        <w:tblLayout w:type="fixed"/>
        <w:tblCellMar>
          <w:top w:w="0" w:type="dxa"/>
          <w:left w:w="108" w:type="dxa"/>
          <w:bottom w:w="0" w:type="dxa"/>
          <w:right w:w="108" w:type="dxa"/>
        </w:tblCellMar>
      </w:tblPr>
      <w:tblGrid>
        <w:gridCol w:w="702"/>
        <w:gridCol w:w="919"/>
        <w:gridCol w:w="802"/>
        <w:gridCol w:w="452"/>
        <w:gridCol w:w="1156"/>
        <w:gridCol w:w="808"/>
        <w:gridCol w:w="944"/>
        <w:gridCol w:w="1306"/>
        <w:gridCol w:w="1158"/>
        <w:gridCol w:w="677"/>
      </w:tblGrid>
      <w:tr>
        <w:tblPrEx>
          <w:tblCellMar>
            <w:top w:w="0" w:type="dxa"/>
            <w:left w:w="108" w:type="dxa"/>
            <w:bottom w:w="0" w:type="dxa"/>
            <w:right w:w="108" w:type="dxa"/>
          </w:tblCellMar>
        </w:tblPrEx>
        <w:trPr>
          <w:trHeight w:val="405"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lang w:eastAsia="zh-CN"/>
              </w:rPr>
            </w:pPr>
            <w:r>
              <w:rPr>
                <w:rFonts w:hint="eastAsia" w:ascii="宋体" w:hAnsi="宋体" w:eastAsia="宋体" w:cs="宋体"/>
                <w:b/>
                <w:bCs/>
                <w:lang w:eastAsia="zh-CN" w:bidi="ar"/>
              </w:rPr>
              <w:t>资产清单02（福田远鹏大楼指挥中心迁移至安托山方舱医院的设备）</w:t>
            </w:r>
          </w:p>
        </w:tc>
      </w:tr>
      <w:tr>
        <w:tblPrEx>
          <w:tblCellMar>
            <w:top w:w="0" w:type="dxa"/>
            <w:left w:w="108" w:type="dxa"/>
            <w:bottom w:w="0" w:type="dxa"/>
            <w:right w:w="108" w:type="dxa"/>
          </w:tblCellMar>
        </w:tblPrEx>
        <w:trPr>
          <w:trHeight w:val="72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序号</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项目名称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品牌</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项目特征描述</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计量</w:t>
            </w:r>
            <w:r>
              <w:rPr>
                <w:rFonts w:hint="eastAsia" w:ascii="宋体" w:hAnsi="宋体" w:eastAsia="宋体" w:cs="宋体"/>
                <w:lang w:eastAsia="zh-CN" w:bidi="ar"/>
              </w:rPr>
              <w:br w:type="textWrapping"/>
            </w:r>
            <w:r>
              <w:rPr>
                <w:rFonts w:hint="eastAsia" w:ascii="宋体" w:hAnsi="宋体" w:eastAsia="宋体" w:cs="宋体"/>
                <w:lang w:eastAsia="zh-CN" w:bidi="ar"/>
              </w:rPr>
              <w:t>单位</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工程量</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处置方案</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rPr>
            </w:pPr>
            <w:r>
              <w:rPr>
                <w:rFonts w:hint="eastAsia" w:ascii="宋体" w:hAnsi="宋体" w:eastAsia="宋体" w:cs="宋体"/>
                <w:lang w:eastAsia="zh-CN" w:bidi="ar"/>
              </w:rPr>
              <w:t>肛肠医院需求梳理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rPr>
            </w:pPr>
            <w:r>
              <w:rPr>
                <w:rFonts w:hint="eastAsia" w:ascii="宋体" w:hAnsi="宋体" w:eastAsia="宋体" w:cs="宋体"/>
                <w:lang w:eastAsia="zh-CN" w:bidi="ar"/>
              </w:rPr>
              <w:t>用途</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无线传屏器</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快立享</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Quicksharev2</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3</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高清线</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绿联</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 xml:space="preserve">$60,363 </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条</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专业功放</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TS-200PI</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专业音箱</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TS-608A</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4</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支架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TS-02A</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4</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调音台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TS-14PFX-4</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音频处理器</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TS-P440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无线话筒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T-526UV</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话筒呼叫控制嵌入软件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V1.32</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套</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电源管理器</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TS-820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会议系统主机</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TS-0300M</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会议话筒处理器</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TS-3400MIX</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会议话筒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TS-W302</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会议话筒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TS-W302A</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发射器</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TS-W116</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充电箱</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itc</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TS-W180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全向麦</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nil"/>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MIC500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XZ079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大屏支架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nil"/>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1.名称:大屏支架</w:t>
            </w:r>
            <w:r>
              <w:rPr>
                <w:rFonts w:hint="eastAsia" w:ascii="宋体" w:hAnsi="宋体" w:eastAsia="宋体" w:cs="宋体"/>
                <w:lang w:eastAsia="zh-CN" w:bidi="ar"/>
              </w:rPr>
              <w:br w:type="textWrapping"/>
            </w:r>
            <w:r>
              <w:rPr>
                <w:rFonts w:hint="eastAsia" w:ascii="宋体" w:hAnsi="宋体" w:eastAsia="宋体" w:cs="宋体"/>
                <w:lang w:eastAsia="zh-CN" w:bidi="ar"/>
              </w:rPr>
              <w:t>2.规格:定制</w:t>
            </w:r>
            <w:r>
              <w:rPr>
                <w:rFonts w:hint="eastAsia" w:ascii="宋体" w:hAnsi="宋体" w:eastAsia="宋体" w:cs="宋体"/>
                <w:lang w:eastAsia="zh-CN" w:bidi="ar"/>
              </w:rPr>
              <w:br w:type="textWrapping"/>
            </w:r>
            <w:r>
              <w:rPr>
                <w:rFonts w:hint="eastAsia" w:ascii="宋体" w:hAnsi="宋体" w:eastAsia="宋体" w:cs="宋体"/>
                <w:lang w:eastAsia="zh-CN" w:bidi="ar"/>
              </w:rPr>
              <w:t>3.配置形式:综合考虑</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XZ078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55寸拼接屏</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901" w:type="pct"/>
            <w:gridSpan w:val="2"/>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 xml:space="preserve">1.名称:55寸拼接屏 </w:t>
            </w:r>
            <w:r>
              <w:rPr>
                <w:rFonts w:hint="eastAsia" w:ascii="宋体" w:hAnsi="宋体" w:eastAsia="宋体" w:cs="宋体"/>
                <w:lang w:eastAsia="zh-CN" w:bidi="ar"/>
              </w:rPr>
              <w:br w:type="textWrapping"/>
            </w:r>
            <w:r>
              <w:rPr>
                <w:rFonts w:hint="eastAsia" w:ascii="宋体" w:hAnsi="宋体" w:eastAsia="宋体" w:cs="宋体"/>
                <w:lang w:eastAsia="zh-CN" w:bidi="ar"/>
              </w:rPr>
              <w:t>2.其他:满足设计图纸及技术规范要求</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XZ081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高清解码器</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创维</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 xml:space="preserve">1.名称:高清解码器 </w:t>
            </w:r>
            <w:r>
              <w:rPr>
                <w:rFonts w:hint="eastAsia" w:ascii="宋体" w:hAnsi="宋体" w:eastAsia="宋体" w:cs="宋体"/>
                <w:lang w:eastAsia="zh-CN" w:bidi="ar"/>
              </w:rPr>
              <w:br w:type="textWrapping"/>
            </w:r>
            <w:r>
              <w:rPr>
                <w:rFonts w:hint="eastAsia" w:ascii="宋体" w:hAnsi="宋体" w:eastAsia="宋体" w:cs="宋体"/>
                <w:lang w:eastAsia="zh-CN" w:bidi="ar"/>
              </w:rPr>
              <w:t>2.其他:满足设计图纸及技术规范要求</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套</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XZ080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大屏线缆</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创维</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1.名称：工程专用HDMI线</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套</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XZ081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高清解码器</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创维</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 xml:space="preserve">1.名称:高清解码器 </w:t>
            </w:r>
            <w:r>
              <w:rPr>
                <w:rFonts w:hint="eastAsia" w:ascii="宋体" w:hAnsi="宋体" w:eastAsia="宋体" w:cs="宋体"/>
                <w:lang w:eastAsia="zh-CN" w:bidi="ar"/>
              </w:rPr>
              <w:br w:type="textWrapping"/>
            </w:r>
            <w:r>
              <w:rPr>
                <w:rFonts w:hint="eastAsia" w:ascii="宋体" w:hAnsi="宋体" w:eastAsia="宋体" w:cs="宋体"/>
                <w:lang w:eastAsia="zh-CN" w:bidi="ar"/>
              </w:rPr>
              <w:t>2.其他:满足设计图纸及技术规范要求</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XZ082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编码器</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创维</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 xml:space="preserve">1.名称:1.名称:编码器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2.其他:满足设计图纸及技术规范要求 </w:t>
            </w:r>
            <w:r>
              <w:rPr>
                <w:rFonts w:hint="eastAsia" w:ascii="宋体" w:hAnsi="宋体" w:eastAsia="宋体" w:cs="宋体"/>
                <w:lang w:eastAsia="zh-CN" w:bidi="ar"/>
              </w:rPr>
              <w:br w:type="textWrapping"/>
            </w:r>
            <w:r>
              <w:rPr>
                <w:rFonts w:hint="eastAsia" w:ascii="宋体" w:hAnsi="宋体" w:eastAsia="宋体" w:cs="宋体"/>
                <w:lang w:eastAsia="zh-CN" w:bidi="ar"/>
              </w:rPr>
              <w:t>2.其他:满足设计图纸及技术规范要求</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XZ187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视频会议终端</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BOX310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套</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XZ188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视频会议摄像头</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C200-4K</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XZ199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平板控制电脑</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MatePad Pro</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XZ270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机柜、机架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(1)名称:42U机柜600*800*2000</w:t>
            </w:r>
            <w:r>
              <w:rPr>
                <w:rFonts w:hint="eastAsia" w:ascii="宋体" w:hAnsi="宋体" w:eastAsia="宋体" w:cs="宋体"/>
                <w:lang w:eastAsia="zh-CN" w:bidi="ar"/>
              </w:rPr>
              <w:br w:type="textWrapping"/>
            </w:r>
            <w:r>
              <w:rPr>
                <w:rFonts w:hint="eastAsia" w:ascii="宋体" w:hAnsi="宋体" w:eastAsia="宋体" w:cs="宋体"/>
                <w:lang w:eastAsia="zh-CN" w:bidi="ar"/>
              </w:rPr>
              <w:t>(2)含8位防雷PDU 2 个</w:t>
            </w:r>
            <w:r>
              <w:rPr>
                <w:rFonts w:hint="eastAsia" w:ascii="宋体" w:hAnsi="宋体" w:eastAsia="宋体" w:cs="宋体"/>
                <w:lang w:eastAsia="zh-CN" w:bidi="ar"/>
              </w:rPr>
              <w:br w:type="textWrapping"/>
            </w:r>
            <w:r>
              <w:rPr>
                <w:rFonts w:hint="eastAsia" w:ascii="宋体" w:hAnsi="宋体" w:eastAsia="宋体" w:cs="宋体"/>
                <w:lang w:eastAsia="zh-CN" w:bidi="ar"/>
              </w:rPr>
              <w:t>(3）配置：一块前门，2块侧门，10套方螺母螺钉，1只内六角扳手</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XZ272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24口千兆接入交换机</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(1)名称:24口千兆接入交换机</w:t>
            </w:r>
            <w:r>
              <w:rPr>
                <w:rFonts w:hint="eastAsia" w:ascii="宋体" w:hAnsi="宋体" w:eastAsia="宋体" w:cs="宋体"/>
                <w:lang w:eastAsia="zh-CN" w:bidi="ar"/>
              </w:rPr>
              <w:br w:type="textWrapping"/>
            </w:r>
            <w:r>
              <w:rPr>
                <w:rFonts w:hint="eastAsia" w:ascii="宋体" w:hAnsi="宋体" w:eastAsia="宋体" w:cs="宋体"/>
                <w:lang w:eastAsia="zh-CN" w:bidi="ar"/>
              </w:rPr>
              <w:t>(2)24口 10/100/1000Mbps ,1个千兆上行光口，1个千兆上行电口,背板带宽不低于52Gbps,包转发率不低于39Mpps.</w:t>
            </w:r>
            <w:r>
              <w:rPr>
                <w:rFonts w:hint="eastAsia" w:ascii="宋体" w:hAnsi="宋体" w:eastAsia="宋体" w:cs="宋体"/>
                <w:lang w:eastAsia="zh-CN" w:bidi="ar"/>
              </w:rPr>
              <w:br w:type="textWrapping"/>
            </w:r>
            <w:r>
              <w:rPr>
                <w:rFonts w:hint="eastAsia" w:ascii="宋体" w:hAnsi="宋体" w:eastAsia="宋体" w:cs="宋体"/>
                <w:lang w:eastAsia="zh-CN" w:bidi="ar"/>
              </w:rPr>
              <w:t>（3）交换方式：存储转发</w:t>
            </w:r>
            <w:r>
              <w:rPr>
                <w:rFonts w:hint="eastAsia" w:ascii="宋体" w:hAnsi="宋体" w:eastAsia="宋体" w:cs="宋体"/>
                <w:lang w:eastAsia="zh-CN" w:bidi="ar"/>
              </w:rPr>
              <w:br w:type="textWrapping"/>
            </w:r>
            <w:r>
              <w:rPr>
                <w:rFonts w:hint="eastAsia" w:ascii="宋体" w:hAnsi="宋体" w:eastAsia="宋体" w:cs="宋体"/>
                <w:lang w:eastAsia="zh-CN" w:bidi="ar"/>
              </w:rPr>
              <w:t>网络标准：IEEE802.3;IEEE802.3u;IEEE802.3x</w:t>
            </w:r>
            <w:r>
              <w:rPr>
                <w:rFonts w:hint="eastAsia" w:ascii="宋体" w:hAnsi="宋体" w:eastAsia="宋体" w:cs="宋体"/>
                <w:lang w:eastAsia="zh-CN" w:bidi="ar"/>
              </w:rPr>
              <w:br w:type="textWrapping"/>
            </w:r>
            <w:r>
              <w:rPr>
                <w:rFonts w:hint="eastAsia" w:ascii="宋体" w:hAnsi="宋体" w:eastAsia="宋体" w:cs="宋体"/>
                <w:lang w:eastAsia="zh-CN" w:bidi="ar"/>
              </w:rPr>
              <w:t>性能参数</w:t>
            </w:r>
            <w:r>
              <w:rPr>
                <w:rFonts w:hint="eastAsia" w:ascii="宋体" w:hAnsi="宋体" w:eastAsia="宋体" w:cs="宋体"/>
                <w:lang w:eastAsia="zh-CN" w:bidi="ar"/>
              </w:rPr>
              <w:br w:type="textWrapping"/>
            </w:r>
            <w:r>
              <w:rPr>
                <w:rFonts w:hint="eastAsia" w:ascii="宋体" w:hAnsi="宋体" w:eastAsia="宋体" w:cs="宋体"/>
                <w:lang w:eastAsia="zh-CN" w:bidi="ar"/>
              </w:rPr>
              <w:t>交换容量：52 Gbps</w:t>
            </w:r>
            <w:r>
              <w:rPr>
                <w:rFonts w:hint="eastAsia" w:ascii="宋体" w:hAnsi="宋体" w:eastAsia="宋体" w:cs="宋体"/>
                <w:lang w:eastAsia="zh-CN" w:bidi="ar"/>
              </w:rPr>
              <w:br w:type="textWrapping"/>
            </w:r>
            <w:r>
              <w:rPr>
                <w:rFonts w:hint="eastAsia" w:ascii="宋体" w:hAnsi="宋体" w:eastAsia="宋体" w:cs="宋体"/>
                <w:lang w:eastAsia="zh-CN" w:bidi="ar"/>
              </w:rPr>
              <w:t>包转发率：38.688 Mpps</w:t>
            </w:r>
            <w:r>
              <w:rPr>
                <w:rFonts w:hint="eastAsia" w:ascii="宋体" w:hAnsi="宋体" w:eastAsia="宋体" w:cs="宋体"/>
                <w:lang w:eastAsia="zh-CN" w:bidi="ar"/>
              </w:rPr>
              <w:br w:type="textWrapping"/>
            </w:r>
            <w:r>
              <w:rPr>
                <w:rFonts w:hint="eastAsia" w:ascii="宋体" w:hAnsi="宋体" w:eastAsia="宋体" w:cs="宋体"/>
                <w:lang w:eastAsia="zh-CN" w:bidi="ar"/>
              </w:rPr>
              <w:t>MAC地址容量：8 K</w:t>
            </w:r>
            <w:r>
              <w:rPr>
                <w:rFonts w:hint="eastAsia" w:ascii="宋体" w:hAnsi="宋体" w:eastAsia="宋体" w:cs="宋体"/>
                <w:lang w:eastAsia="zh-CN" w:bidi="ar"/>
              </w:rPr>
              <w:br w:type="textWrapping"/>
            </w:r>
            <w:r>
              <w:rPr>
                <w:rFonts w:hint="eastAsia" w:ascii="宋体" w:hAnsi="宋体" w:eastAsia="宋体" w:cs="宋体"/>
                <w:lang w:eastAsia="zh-CN" w:bidi="ar"/>
              </w:rPr>
              <w:t>缓存：4.1 Mbits</w:t>
            </w:r>
            <w:r>
              <w:rPr>
                <w:rFonts w:hint="eastAsia" w:ascii="宋体" w:hAnsi="宋体" w:eastAsia="宋体" w:cs="宋体"/>
                <w:lang w:eastAsia="zh-CN" w:bidi="ar"/>
              </w:rPr>
              <w:br w:type="textWrapping"/>
            </w:r>
            <w:r>
              <w:rPr>
                <w:rFonts w:hint="eastAsia" w:ascii="宋体" w:hAnsi="宋体" w:eastAsia="宋体" w:cs="宋体"/>
                <w:lang w:eastAsia="zh-CN" w:bidi="ar"/>
              </w:rPr>
              <w:t>通用参数</w:t>
            </w:r>
            <w:r>
              <w:rPr>
                <w:rFonts w:hint="eastAsia" w:ascii="宋体" w:hAnsi="宋体" w:eastAsia="宋体" w:cs="宋体"/>
                <w:lang w:eastAsia="zh-CN" w:bidi="ar"/>
              </w:rPr>
              <w:br w:type="textWrapping"/>
            </w:r>
            <w:r>
              <w:rPr>
                <w:rFonts w:hint="eastAsia" w:ascii="宋体" w:hAnsi="宋体" w:eastAsia="宋体" w:cs="宋体"/>
                <w:lang w:eastAsia="zh-CN" w:bidi="ar"/>
              </w:rPr>
              <w:t>端口：24千兆POE电口，1千兆电口，1千兆光口</w:t>
            </w:r>
            <w:r>
              <w:rPr>
                <w:rFonts w:hint="eastAsia" w:ascii="宋体" w:hAnsi="宋体" w:eastAsia="宋体" w:cs="宋体"/>
                <w:lang w:eastAsia="zh-CN" w:bidi="ar"/>
              </w:rPr>
              <w:br w:type="textWrapping"/>
            </w:r>
            <w:r>
              <w:rPr>
                <w:rFonts w:hint="eastAsia" w:ascii="宋体" w:hAnsi="宋体" w:eastAsia="宋体" w:cs="宋体"/>
                <w:lang w:eastAsia="zh-CN" w:bidi="ar"/>
              </w:rPr>
              <w:t>重量：2.88 kg</w:t>
            </w:r>
            <w:r>
              <w:rPr>
                <w:rFonts w:hint="eastAsia" w:ascii="宋体" w:hAnsi="宋体" w:eastAsia="宋体" w:cs="宋体"/>
                <w:lang w:eastAsia="zh-CN" w:bidi="ar"/>
              </w:rPr>
              <w:br w:type="textWrapping"/>
            </w:r>
            <w:r>
              <w:rPr>
                <w:rFonts w:hint="eastAsia" w:ascii="宋体" w:hAnsi="宋体" w:eastAsia="宋体" w:cs="宋体"/>
                <w:lang w:eastAsia="zh-CN" w:bidi="ar"/>
              </w:rPr>
              <w:t>风扇：有</w:t>
            </w:r>
            <w:r>
              <w:rPr>
                <w:rFonts w:hint="eastAsia" w:ascii="宋体" w:hAnsi="宋体" w:eastAsia="宋体" w:cs="宋体"/>
                <w:lang w:eastAsia="zh-CN" w:bidi="ar"/>
              </w:rPr>
              <w:br w:type="textWrapping"/>
            </w:r>
            <w:r>
              <w:rPr>
                <w:rFonts w:hint="eastAsia" w:ascii="宋体" w:hAnsi="宋体" w:eastAsia="宋体" w:cs="宋体"/>
                <w:lang w:eastAsia="zh-CN" w:bidi="ar"/>
              </w:rPr>
              <w:t>尺寸（长×高×深）：440 mm × 44 mm × 220.8 mm</w:t>
            </w:r>
            <w:r>
              <w:rPr>
                <w:rFonts w:hint="eastAsia" w:ascii="宋体" w:hAnsi="宋体" w:eastAsia="宋体" w:cs="宋体"/>
                <w:lang w:eastAsia="zh-CN" w:bidi="ar"/>
              </w:rPr>
              <w:br w:type="textWrapping"/>
            </w:r>
            <w:r>
              <w:rPr>
                <w:rFonts w:hint="eastAsia" w:ascii="宋体" w:hAnsi="宋体" w:eastAsia="宋体" w:cs="宋体"/>
                <w:lang w:eastAsia="zh-CN" w:bidi="ar"/>
              </w:rPr>
              <w:t>工作温度：0℃～40℃</w:t>
            </w:r>
            <w:r>
              <w:rPr>
                <w:rFonts w:hint="eastAsia" w:ascii="宋体" w:hAnsi="宋体" w:eastAsia="宋体" w:cs="宋体"/>
                <w:lang w:eastAsia="zh-CN" w:bidi="ar"/>
              </w:rPr>
              <w:br w:type="textWrapping"/>
            </w:r>
            <w:r>
              <w:rPr>
                <w:rFonts w:hint="eastAsia" w:ascii="宋体" w:hAnsi="宋体" w:eastAsia="宋体" w:cs="宋体"/>
                <w:lang w:eastAsia="zh-CN" w:bidi="ar"/>
              </w:rPr>
              <w:t>工作湿度：5%～95%（无凝露）</w:t>
            </w:r>
            <w:r>
              <w:rPr>
                <w:rFonts w:hint="eastAsia" w:ascii="宋体" w:hAnsi="宋体" w:eastAsia="宋体" w:cs="宋体"/>
                <w:lang w:eastAsia="zh-CN" w:bidi="ar"/>
              </w:rPr>
              <w:br w:type="textWrapping"/>
            </w:r>
            <w:r>
              <w:rPr>
                <w:rFonts w:hint="eastAsia" w:ascii="宋体" w:hAnsi="宋体" w:eastAsia="宋体" w:cs="宋体"/>
                <w:lang w:eastAsia="zh-CN" w:bidi="ar"/>
              </w:rPr>
              <w:t>存储温度：–40℃～85℃</w:t>
            </w:r>
            <w:r>
              <w:rPr>
                <w:rFonts w:hint="eastAsia" w:ascii="宋体" w:hAnsi="宋体" w:eastAsia="宋体" w:cs="宋体"/>
                <w:lang w:eastAsia="zh-CN" w:bidi="ar"/>
              </w:rPr>
              <w:br w:type="textWrapping"/>
            </w:r>
            <w:r>
              <w:rPr>
                <w:rFonts w:hint="eastAsia" w:ascii="宋体" w:hAnsi="宋体" w:eastAsia="宋体" w:cs="宋体"/>
                <w:lang w:eastAsia="zh-CN" w:bidi="ar"/>
              </w:rPr>
              <w:t>存储湿度：5%～95%（无凝露）</w:t>
            </w:r>
            <w:r>
              <w:rPr>
                <w:rFonts w:hint="eastAsia" w:ascii="宋体" w:hAnsi="宋体" w:eastAsia="宋体" w:cs="宋体"/>
                <w:lang w:eastAsia="zh-CN" w:bidi="ar"/>
              </w:rPr>
              <w:br w:type="textWrapping"/>
            </w:r>
            <w:r>
              <w:rPr>
                <w:rFonts w:hint="eastAsia" w:ascii="宋体" w:hAnsi="宋体" w:eastAsia="宋体" w:cs="宋体"/>
                <w:lang w:eastAsia="zh-CN" w:bidi="ar"/>
              </w:rPr>
              <w:t>供电方式：100～240 VAC，50/60 Hz，最大6.5 A</w:t>
            </w:r>
            <w:r>
              <w:rPr>
                <w:rFonts w:hint="eastAsia" w:ascii="宋体" w:hAnsi="宋体" w:eastAsia="宋体" w:cs="宋体"/>
                <w:lang w:eastAsia="zh-CN" w:bidi="ar"/>
              </w:rPr>
              <w:br w:type="textWrapping"/>
            </w:r>
            <w:r>
              <w:rPr>
                <w:rFonts w:hint="eastAsia" w:ascii="宋体" w:hAnsi="宋体" w:eastAsia="宋体" w:cs="宋体"/>
                <w:lang w:eastAsia="zh-CN" w:bidi="ar"/>
              </w:rPr>
              <w:t>安装方式：机架式（1U高，19英寸宽）</w:t>
            </w:r>
            <w:r>
              <w:rPr>
                <w:rFonts w:hint="eastAsia" w:ascii="宋体" w:hAnsi="宋体" w:eastAsia="宋体" w:cs="宋体"/>
                <w:lang w:eastAsia="zh-CN" w:bidi="ar"/>
              </w:rPr>
              <w:br w:type="textWrapping"/>
            </w:r>
            <w:r>
              <w:rPr>
                <w:rFonts w:hint="eastAsia" w:ascii="宋体" w:hAnsi="宋体" w:eastAsia="宋体" w:cs="宋体"/>
                <w:lang w:eastAsia="zh-CN" w:bidi="ar"/>
              </w:rPr>
              <w:t>浪涌防护：6 KV（PoE口）</w:t>
            </w:r>
            <w:r>
              <w:rPr>
                <w:rFonts w:hint="eastAsia" w:ascii="宋体" w:hAnsi="宋体" w:eastAsia="宋体" w:cs="宋体"/>
                <w:lang w:eastAsia="zh-CN" w:bidi="ar"/>
              </w:rPr>
              <w:br w:type="textWrapping"/>
            </w:r>
            <w:r>
              <w:rPr>
                <w:rFonts w:hint="eastAsia" w:ascii="宋体" w:hAnsi="宋体" w:eastAsia="宋体" w:cs="宋体"/>
                <w:lang w:eastAsia="zh-CN" w:bidi="ar"/>
              </w:rPr>
              <w:t>PoE功能</w:t>
            </w:r>
            <w:r>
              <w:rPr>
                <w:rFonts w:hint="eastAsia" w:ascii="宋体" w:hAnsi="宋体" w:eastAsia="宋体" w:cs="宋体"/>
                <w:lang w:eastAsia="zh-CN" w:bidi="ar"/>
              </w:rPr>
              <w:br w:type="textWrapping"/>
            </w:r>
            <w:r>
              <w:rPr>
                <w:rFonts w:hint="eastAsia" w:ascii="宋体" w:hAnsi="宋体" w:eastAsia="宋体" w:cs="宋体"/>
                <w:lang w:eastAsia="zh-CN" w:bidi="ar"/>
              </w:rPr>
              <w:t>PoE标准：IEEE 802.3af、IEEE 802.3at</w:t>
            </w:r>
            <w:r>
              <w:rPr>
                <w:rFonts w:hint="eastAsia" w:ascii="宋体" w:hAnsi="宋体" w:eastAsia="宋体" w:cs="宋体"/>
                <w:lang w:eastAsia="zh-CN" w:bidi="ar"/>
              </w:rPr>
              <w:br w:type="textWrapping"/>
            </w:r>
            <w:r>
              <w:rPr>
                <w:rFonts w:hint="eastAsia" w:ascii="宋体" w:hAnsi="宋体" w:eastAsia="宋体" w:cs="宋体"/>
                <w:lang w:eastAsia="zh-CN" w:bidi="ar"/>
              </w:rPr>
              <w:t>PoE端口：port1～24</w:t>
            </w:r>
            <w:r>
              <w:rPr>
                <w:rFonts w:hint="eastAsia" w:ascii="宋体" w:hAnsi="宋体" w:eastAsia="宋体" w:cs="宋体"/>
                <w:lang w:eastAsia="zh-CN" w:bidi="ar"/>
              </w:rPr>
              <w:br w:type="textWrapping"/>
            </w:r>
            <w:r>
              <w:rPr>
                <w:rFonts w:hint="eastAsia" w:ascii="宋体" w:hAnsi="宋体" w:eastAsia="宋体" w:cs="宋体"/>
                <w:lang w:eastAsia="zh-CN" w:bidi="ar"/>
              </w:rPr>
              <w:t>端口最大供电功率：30 W</w:t>
            </w:r>
            <w:r>
              <w:rPr>
                <w:rFonts w:hint="eastAsia" w:ascii="宋体" w:hAnsi="宋体" w:eastAsia="宋体" w:cs="宋体"/>
                <w:lang w:eastAsia="zh-CN" w:bidi="ar"/>
              </w:rPr>
              <w:br w:type="textWrapping"/>
            </w:r>
            <w:r>
              <w:rPr>
                <w:rFonts w:hint="eastAsia" w:ascii="宋体" w:hAnsi="宋体" w:eastAsia="宋体" w:cs="宋体"/>
                <w:lang w:eastAsia="zh-CN" w:bidi="ar"/>
              </w:rPr>
              <w:t>整机最大供电功率：370 W</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26</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XZ167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会议平板75寸红外屏</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HUAWEI IdeahHUB B2-IHB2-75PU</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XZ168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支架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白色落地支架</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XZ169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OPS主机</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OPS I5</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5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XZ256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空气消毒机设备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 xml:space="preserve">(1)名称:空气消毒机设备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(2)型号规格:KJF800 </w:t>
            </w:r>
            <w:r>
              <w:rPr>
                <w:rFonts w:hint="eastAsia" w:ascii="宋体" w:hAnsi="宋体" w:eastAsia="宋体" w:cs="宋体"/>
                <w:lang w:eastAsia="zh-CN" w:bidi="ar"/>
              </w:rPr>
              <w:br w:type="textWrapping"/>
            </w:r>
            <w:r>
              <w:rPr>
                <w:rFonts w:hint="eastAsia" w:ascii="宋体" w:hAnsi="宋体" w:eastAsia="宋体" w:cs="宋体"/>
                <w:lang w:eastAsia="zh-CN" w:bidi="ar"/>
              </w:rPr>
              <w:t>(3)满足设计图纸、相关规范、招标文件及其技术要求</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113</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67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XZ068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500万像素周界检测摄像机</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1.名称:.500万像素周界检测摄像机</w:t>
            </w:r>
            <w:r>
              <w:rPr>
                <w:rFonts w:hint="eastAsia" w:ascii="宋体" w:hAnsi="宋体" w:eastAsia="宋体" w:cs="宋体"/>
                <w:lang w:eastAsia="zh-CN" w:bidi="ar"/>
              </w:rPr>
              <w:br w:type="textWrapping"/>
            </w:r>
            <w:r>
              <w:rPr>
                <w:rFonts w:hint="eastAsia" w:ascii="宋体" w:hAnsi="宋体" w:eastAsia="宋体" w:cs="宋体"/>
                <w:lang w:eastAsia="zh-CN" w:bidi="ar"/>
              </w:rPr>
              <w:t>2.参数:芯片 Hi3516DV300</w:t>
            </w:r>
            <w:r>
              <w:rPr>
                <w:rFonts w:hint="eastAsia" w:ascii="宋体" w:hAnsi="宋体" w:eastAsia="宋体" w:cs="宋体"/>
                <w:lang w:eastAsia="zh-CN" w:bidi="ar"/>
              </w:rPr>
              <w:br w:type="textWrapping"/>
            </w:r>
            <w:r>
              <w:rPr>
                <w:rFonts w:hint="eastAsia" w:ascii="宋体" w:hAnsi="宋体" w:eastAsia="宋体" w:cs="宋体"/>
                <w:lang w:eastAsia="zh-CN" w:bidi="ar"/>
              </w:rPr>
              <w:t>算力 1 TOPS</w:t>
            </w:r>
            <w:r>
              <w:rPr>
                <w:rFonts w:hint="eastAsia" w:ascii="宋体" w:hAnsi="宋体" w:eastAsia="宋体" w:cs="宋体"/>
                <w:lang w:eastAsia="zh-CN" w:bidi="ar"/>
              </w:rPr>
              <w:br w:type="textWrapping"/>
            </w:r>
            <w:r>
              <w:rPr>
                <w:rFonts w:hint="eastAsia" w:ascii="宋体" w:hAnsi="宋体" w:eastAsia="宋体" w:cs="宋体"/>
                <w:lang w:eastAsia="zh-CN" w:bidi="ar"/>
              </w:rPr>
              <w:t>内存 DDR3 0.5 GB</w:t>
            </w:r>
            <w:r>
              <w:rPr>
                <w:rFonts w:hint="eastAsia" w:ascii="宋体" w:hAnsi="宋体" w:eastAsia="宋体" w:cs="宋体"/>
                <w:lang w:eastAsia="zh-CN" w:bidi="ar"/>
              </w:rPr>
              <w:br w:type="textWrapping"/>
            </w:r>
            <w:r>
              <w:rPr>
                <w:rFonts w:hint="eastAsia" w:ascii="宋体" w:hAnsi="宋体" w:eastAsia="宋体" w:cs="宋体"/>
                <w:lang w:eastAsia="zh-CN" w:bidi="ar"/>
              </w:rPr>
              <w:t>Flash SPI NAND FLASH 256.0 MB</w:t>
            </w:r>
            <w:r>
              <w:rPr>
                <w:rFonts w:hint="eastAsia" w:ascii="宋体" w:hAnsi="宋体" w:eastAsia="宋体" w:cs="宋体"/>
                <w:lang w:eastAsia="zh-CN" w:bidi="ar"/>
              </w:rPr>
              <w:br w:type="textWrapping"/>
            </w:r>
            <w:r>
              <w:rPr>
                <w:rFonts w:hint="eastAsia" w:ascii="宋体" w:hAnsi="宋体" w:eastAsia="宋体" w:cs="宋体"/>
                <w:lang w:eastAsia="zh-CN" w:bidi="ar"/>
              </w:rPr>
              <w:t>Sensor感光面尺寸 1/2.7" CMOS</w:t>
            </w:r>
            <w:r>
              <w:rPr>
                <w:rFonts w:hint="eastAsia" w:ascii="宋体" w:hAnsi="宋体" w:eastAsia="宋体" w:cs="宋体"/>
                <w:lang w:eastAsia="zh-CN" w:bidi="ar"/>
              </w:rPr>
              <w:br w:type="textWrapping"/>
            </w:r>
            <w:r>
              <w:rPr>
                <w:rFonts w:hint="eastAsia" w:ascii="宋体" w:hAnsi="宋体" w:eastAsia="宋体" w:cs="宋体"/>
                <w:lang w:eastAsia="zh-CN" w:bidi="ar"/>
              </w:rPr>
              <w:t>最低照度 彩色:0.005Lux(F1.6,AGC ON),黑白:0.0025Lux(F1.6,AGC ON),0Lux(红外开启)</w:t>
            </w:r>
            <w:r>
              <w:rPr>
                <w:rFonts w:hint="eastAsia" w:ascii="宋体" w:hAnsi="宋体" w:eastAsia="宋体" w:cs="宋体"/>
                <w:lang w:eastAsia="zh-CN" w:bidi="ar"/>
              </w:rPr>
              <w:br w:type="textWrapping"/>
            </w:r>
            <w:r>
              <w:rPr>
                <w:rFonts w:hint="eastAsia" w:ascii="宋体" w:hAnsi="宋体" w:eastAsia="宋体" w:cs="宋体"/>
                <w:lang w:eastAsia="zh-CN" w:bidi="ar"/>
              </w:rPr>
              <w:t>3.其他:满足设计图纸及技术规范要求</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37</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37</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67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XZ076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64路8盘位视频存储NVR设备安装</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 xml:space="preserve">1.名称:64路8盘位视频存储NVR </w:t>
            </w:r>
            <w:r>
              <w:rPr>
                <w:rFonts w:hint="eastAsia" w:ascii="宋体" w:hAnsi="宋体" w:eastAsia="宋体" w:cs="宋体"/>
                <w:lang w:eastAsia="zh-CN" w:bidi="ar"/>
              </w:rPr>
              <w:br w:type="textWrapping"/>
            </w:r>
            <w:r>
              <w:rPr>
                <w:rFonts w:hint="eastAsia" w:ascii="宋体" w:hAnsi="宋体" w:eastAsia="宋体" w:cs="宋体"/>
                <w:lang w:eastAsia="zh-CN" w:bidi="ar"/>
              </w:rPr>
              <w:t>2.其他:满足设计图纸及技术规范要求</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17</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XZ077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硬盘</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 xml:space="preserve">1.名称:硬盘 </w:t>
            </w:r>
            <w:r>
              <w:rPr>
                <w:rFonts w:hint="eastAsia" w:ascii="宋体" w:hAnsi="宋体" w:eastAsia="宋体" w:cs="宋体"/>
                <w:lang w:eastAsia="zh-CN" w:bidi="ar"/>
              </w:rPr>
              <w:br w:type="textWrapping"/>
            </w:r>
            <w:r>
              <w:rPr>
                <w:rFonts w:hint="eastAsia" w:ascii="宋体" w:hAnsi="宋体" w:eastAsia="宋体" w:cs="宋体"/>
                <w:lang w:eastAsia="zh-CN" w:bidi="ar"/>
              </w:rPr>
              <w:t>2.其他:满足设计图纸及技术规范要求</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220</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XZ273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千兆光模块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(1)名称:千兆光模块</w:t>
            </w:r>
            <w:r>
              <w:rPr>
                <w:rFonts w:hint="eastAsia" w:ascii="宋体" w:hAnsi="宋体" w:eastAsia="宋体" w:cs="宋体"/>
                <w:lang w:eastAsia="zh-CN" w:bidi="ar"/>
              </w:rPr>
              <w:br w:type="textWrapping"/>
            </w:r>
            <w:r>
              <w:rPr>
                <w:rFonts w:hint="eastAsia" w:ascii="宋体" w:hAnsi="宋体" w:eastAsia="宋体" w:cs="宋体"/>
                <w:lang w:eastAsia="zh-CN" w:bidi="ar"/>
              </w:rPr>
              <w:t>(2)SFP-GE-单模模块-(1310nm,10km,LC)</w:t>
            </w:r>
          </w:p>
        </w:tc>
        <w:tc>
          <w:tcPr>
            <w:tcW w:w="453" w:type="pct"/>
            <w:tcBorders>
              <w:top w:val="nil"/>
              <w:left w:val="nil"/>
              <w:bottom w:val="nil"/>
              <w:right w:val="nil"/>
            </w:tcBorders>
            <w:shd w:val="clear" w:color="auto" w:fill="auto"/>
            <w:noWrap/>
            <w:vAlign w:val="center"/>
          </w:tcPr>
          <w:p>
            <w:pPr>
              <w:rPr>
                <w:rFonts w:ascii="宋体" w:hAnsi="宋体" w:eastAsia="宋体" w:cs="宋体"/>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116</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30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XZ192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8口交换机</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S100-8P1S</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7</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7</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XZ193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24口交换机</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华为</w:t>
            </w: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S100-24TR</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6</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285"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XZ303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双绞线缆</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9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1)名称:6类非屏蔽双绞线缆</w:t>
            </w:r>
            <w:r>
              <w:rPr>
                <w:rFonts w:hint="eastAsia" w:ascii="宋体" w:hAnsi="宋体" w:eastAsia="宋体" w:cs="宋体"/>
                <w:lang w:eastAsia="zh-CN" w:bidi="ar"/>
              </w:rPr>
              <w:br w:type="textWrapping"/>
            </w:r>
            <w:r>
              <w:rPr>
                <w:rFonts w:hint="eastAsia" w:ascii="宋体" w:hAnsi="宋体" w:eastAsia="宋体" w:cs="宋体"/>
                <w:lang w:eastAsia="zh-CN" w:bidi="ar"/>
              </w:rPr>
              <w:t>2)导体直径:24 AWG，实芯铜线，线缆结构：一字或十字骨架分隔</w:t>
            </w:r>
            <w:r>
              <w:rPr>
                <w:rFonts w:hint="eastAsia" w:ascii="宋体" w:hAnsi="宋体" w:eastAsia="宋体" w:cs="宋体"/>
                <w:lang w:eastAsia="zh-CN" w:bidi="ar"/>
              </w:rPr>
              <w:br w:type="textWrapping"/>
            </w:r>
            <w:r>
              <w:rPr>
                <w:rFonts w:hint="eastAsia" w:ascii="宋体" w:hAnsi="宋体" w:eastAsia="宋体" w:cs="宋体"/>
                <w:lang w:eastAsia="zh-CN" w:bidi="ar"/>
              </w:rPr>
              <w:t>3)带宽：250MHz</w:t>
            </w:r>
            <w:r>
              <w:rPr>
                <w:rFonts w:hint="eastAsia" w:ascii="宋体" w:hAnsi="宋体" w:eastAsia="宋体" w:cs="宋体"/>
                <w:lang w:eastAsia="zh-CN" w:bidi="ar"/>
              </w:rPr>
              <w:br w:type="textWrapping"/>
            </w:r>
            <w:r>
              <w:rPr>
                <w:rFonts w:hint="eastAsia" w:ascii="宋体" w:hAnsi="宋体" w:eastAsia="宋体" w:cs="宋体"/>
                <w:lang w:eastAsia="zh-CN" w:bidi="ar"/>
              </w:rPr>
              <w:t>4)直流电阻≤7.61/100m</w:t>
            </w:r>
            <w:r>
              <w:rPr>
                <w:rFonts w:hint="eastAsia" w:ascii="宋体" w:hAnsi="宋体" w:eastAsia="宋体" w:cs="宋体"/>
                <w:lang w:eastAsia="zh-CN" w:bidi="ar"/>
              </w:rPr>
              <w:br w:type="textWrapping"/>
            </w:r>
            <w:r>
              <w:rPr>
                <w:rFonts w:hint="eastAsia" w:ascii="宋体" w:hAnsi="宋体" w:eastAsia="宋体" w:cs="宋体"/>
                <w:lang w:eastAsia="zh-CN" w:bidi="ar"/>
              </w:rPr>
              <w:t>5)符合标准：ISO/IEC 11801 Class E 以及 ANSI/TIA 568C  Category 6；</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米</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2400</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2400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520"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lang w:eastAsia="zh-CN"/>
              </w:rPr>
            </w:pPr>
            <w:r>
              <w:rPr>
                <w:rFonts w:hint="eastAsia" w:ascii="宋体" w:hAnsi="宋体" w:eastAsia="宋体" w:cs="宋体"/>
                <w:b/>
                <w:bCs/>
                <w:lang w:eastAsia="zh-CN" w:bidi="ar"/>
              </w:rPr>
              <w:t>资产清单04（室内电气）</w:t>
            </w:r>
          </w:p>
        </w:tc>
      </w:tr>
      <w:tr>
        <w:tblPrEx>
          <w:tblCellMar>
            <w:top w:w="0" w:type="dxa"/>
            <w:left w:w="108" w:type="dxa"/>
            <w:bottom w:w="0" w:type="dxa"/>
            <w:right w:w="108" w:type="dxa"/>
          </w:tblCellMar>
        </w:tblPrEx>
        <w:trPr>
          <w:trHeight w:val="520" w:hRule="atLeast"/>
        </w:trPr>
        <w:tc>
          <w:tcPr>
            <w:tcW w:w="393" w:type="pct"/>
            <w:vMerge w:val="restar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序号</w:t>
            </w:r>
          </w:p>
        </w:tc>
        <w:tc>
          <w:tcPr>
            <w:tcW w:w="515" w:type="pct"/>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项目编码</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项目名称</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品牌</w:t>
            </w:r>
          </w:p>
        </w:tc>
        <w:tc>
          <w:tcPr>
            <w:tcW w:w="648" w:type="pct"/>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项目特征描述</w:t>
            </w:r>
          </w:p>
        </w:tc>
        <w:tc>
          <w:tcPr>
            <w:tcW w:w="453" w:type="pct"/>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计量</w:t>
            </w:r>
            <w:r>
              <w:rPr>
                <w:rFonts w:hint="eastAsia" w:ascii="宋体" w:hAnsi="宋体" w:eastAsia="宋体" w:cs="宋体"/>
                <w:lang w:eastAsia="zh-CN" w:bidi="ar"/>
              </w:rPr>
              <w:br w:type="textWrapping"/>
            </w:r>
            <w:r>
              <w:rPr>
                <w:rFonts w:hint="eastAsia" w:ascii="宋体" w:hAnsi="宋体" w:eastAsia="宋体" w:cs="宋体"/>
                <w:lang w:eastAsia="zh-CN" w:bidi="ar"/>
              </w:rPr>
              <w:t>单位</w:t>
            </w:r>
          </w:p>
        </w:tc>
        <w:tc>
          <w:tcPr>
            <w:tcW w:w="529" w:type="pct"/>
            <w:vMerge w:val="restar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工程量</w:t>
            </w:r>
          </w:p>
        </w:tc>
        <w:tc>
          <w:tcPr>
            <w:tcW w:w="7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处置方案</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肛肠医院需求梳理</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用途</w:t>
            </w:r>
          </w:p>
        </w:tc>
      </w:tr>
      <w:tr>
        <w:tblPrEx>
          <w:tblCellMar>
            <w:top w:w="0" w:type="dxa"/>
            <w:left w:w="108" w:type="dxa"/>
            <w:bottom w:w="0" w:type="dxa"/>
            <w:right w:w="108" w:type="dxa"/>
          </w:tblCellMar>
        </w:tblPrEx>
        <w:trPr>
          <w:trHeight w:val="52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rPr>
            </w:pPr>
          </w:p>
        </w:tc>
        <w:tc>
          <w:tcPr>
            <w:tcW w:w="515" w:type="pct"/>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453" w:type="pct"/>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529" w:type="pct"/>
            <w:vMerge w:val="continue"/>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rPr>
            </w:pPr>
          </w:p>
        </w:tc>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rPr>
            </w:pPr>
          </w:p>
        </w:tc>
      </w:tr>
      <w:tr>
        <w:tblPrEx>
          <w:tblCellMar>
            <w:top w:w="0" w:type="dxa"/>
            <w:left w:w="108" w:type="dxa"/>
            <w:bottom w:w="0" w:type="dxa"/>
            <w:right w:w="108" w:type="dxa"/>
          </w:tblCellMar>
        </w:tblPrEx>
        <w:trPr>
          <w:trHeight w:val="52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rPr>
            </w:pP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rPr>
                <w:rFonts w:ascii="宋体" w:hAnsi="宋体" w:eastAsia="宋体" w:cs="宋体"/>
              </w:rPr>
            </w:pP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rPr>
            </w:pPr>
            <w:r>
              <w:rPr>
                <w:rFonts w:hint="eastAsia" w:ascii="宋体" w:hAnsi="宋体" w:eastAsia="宋体" w:cs="宋体"/>
                <w:lang w:eastAsia="zh-CN" w:bidi="ar"/>
              </w:rPr>
              <w:t>四、灯具、开关插座</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rPr>
            </w:pP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cs="宋体"/>
              </w:rPr>
            </w:pP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宋体" w:hAnsi="宋体" w:eastAsia="宋体" w:cs="宋体"/>
              </w:rPr>
            </w:pP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宋体" w:hAnsi="宋体" w:eastAsia="宋体" w:cs="宋体"/>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宋体" w:hAnsi="宋体" w:eastAsia="宋体" w:cs="宋体"/>
              </w:rPr>
            </w:pPr>
          </w:p>
        </w:tc>
      </w:tr>
      <w:tr>
        <w:tblPrEx>
          <w:tblCellMar>
            <w:top w:w="0" w:type="dxa"/>
            <w:left w:w="108" w:type="dxa"/>
            <w:bottom w:w="0" w:type="dxa"/>
            <w:right w:w="108" w:type="dxa"/>
          </w:tblCellMar>
        </w:tblPrEx>
        <w:trPr>
          <w:trHeight w:val="52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84</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textAlignment w:val="center"/>
              <w:rPr>
                <w:rFonts w:ascii="宋体" w:hAnsi="宋体" w:eastAsia="宋体" w:cs="宋体"/>
              </w:rPr>
            </w:pPr>
            <w:r>
              <w:rPr>
                <w:rFonts w:hint="eastAsia" w:ascii="宋体" w:hAnsi="宋体" w:eastAsia="宋体" w:cs="宋体"/>
                <w:lang w:eastAsia="zh-CN" w:bidi="ar"/>
              </w:rPr>
              <w:t>030412004002</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rPr>
            </w:pPr>
            <w:r>
              <w:rPr>
                <w:rFonts w:hint="eastAsia" w:ascii="宋体" w:hAnsi="宋体" w:eastAsia="宋体" w:cs="宋体"/>
                <w:lang w:eastAsia="zh-CN" w:bidi="ar"/>
              </w:rPr>
              <w:t>装饰灯</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佛山照明</w:t>
            </w: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1.名称:双头应急灯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2.规格:2*3W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3.安装方式:链综合考虑 </w:t>
            </w:r>
            <w:r>
              <w:rPr>
                <w:rFonts w:hint="eastAsia" w:ascii="宋体" w:hAnsi="宋体" w:eastAsia="宋体" w:cs="宋体"/>
                <w:lang w:eastAsia="zh-CN" w:bidi="ar"/>
              </w:rPr>
              <w:br w:type="textWrapping"/>
            </w:r>
            <w:r>
              <w:rPr>
                <w:rFonts w:hint="eastAsia" w:ascii="宋体" w:hAnsi="宋体" w:eastAsia="宋体" w:cs="宋体"/>
                <w:lang w:eastAsia="zh-CN" w:bidi="ar"/>
              </w:rPr>
              <w:t>4.满足设计图纸、相关规范、招标文件及其技术要求</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套</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113</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24</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52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85</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textAlignment w:val="center"/>
              <w:rPr>
                <w:rFonts w:ascii="宋体" w:hAnsi="宋体" w:eastAsia="宋体" w:cs="宋体"/>
              </w:rPr>
            </w:pPr>
            <w:r>
              <w:rPr>
                <w:rFonts w:hint="eastAsia" w:ascii="宋体" w:hAnsi="宋体" w:eastAsia="宋体" w:cs="宋体"/>
                <w:lang w:eastAsia="zh-CN" w:bidi="ar"/>
              </w:rPr>
              <w:t>030412004001</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rPr>
            </w:pPr>
            <w:r>
              <w:rPr>
                <w:rFonts w:hint="eastAsia" w:ascii="宋体" w:hAnsi="宋体" w:eastAsia="宋体" w:cs="宋体"/>
                <w:lang w:eastAsia="zh-CN" w:bidi="ar"/>
              </w:rPr>
              <w:t>装饰灯</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佛山照明</w:t>
            </w: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1.名称:疏散指示灯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2.规格:2W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3.安装方式:链综合考虑 </w:t>
            </w:r>
            <w:r>
              <w:rPr>
                <w:rFonts w:hint="eastAsia" w:ascii="宋体" w:hAnsi="宋体" w:eastAsia="宋体" w:cs="宋体"/>
                <w:lang w:eastAsia="zh-CN" w:bidi="ar"/>
              </w:rPr>
              <w:br w:type="textWrapping"/>
            </w:r>
            <w:r>
              <w:rPr>
                <w:rFonts w:hint="eastAsia" w:ascii="宋体" w:hAnsi="宋体" w:eastAsia="宋体" w:cs="宋体"/>
                <w:lang w:eastAsia="zh-CN" w:bidi="ar"/>
              </w:rPr>
              <w:t>4.满足设计图纸、相关规范、招标文件及其技术要求</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套</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152</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30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52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86</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textAlignment w:val="center"/>
              <w:rPr>
                <w:rFonts w:ascii="宋体" w:hAnsi="宋体" w:eastAsia="宋体" w:cs="宋体"/>
              </w:rPr>
            </w:pPr>
            <w:r>
              <w:rPr>
                <w:rFonts w:hint="eastAsia" w:ascii="宋体" w:hAnsi="宋体" w:eastAsia="宋体" w:cs="宋体"/>
                <w:lang w:eastAsia="zh-CN" w:bidi="ar"/>
              </w:rPr>
              <w:t>030412004003</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rPr>
            </w:pPr>
            <w:r>
              <w:rPr>
                <w:rFonts w:hint="eastAsia" w:ascii="宋体" w:hAnsi="宋体" w:eastAsia="宋体" w:cs="宋体"/>
                <w:lang w:eastAsia="zh-CN" w:bidi="ar"/>
              </w:rPr>
              <w:t>装饰灯</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佛山照明</w:t>
            </w: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1.名称:安全出口指示灯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2.规格:2W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3.安装方式:链综合考虑 </w:t>
            </w:r>
            <w:r>
              <w:rPr>
                <w:rFonts w:hint="eastAsia" w:ascii="宋体" w:hAnsi="宋体" w:eastAsia="宋体" w:cs="宋体"/>
                <w:lang w:eastAsia="zh-CN" w:bidi="ar"/>
              </w:rPr>
              <w:br w:type="textWrapping"/>
            </w:r>
            <w:r>
              <w:rPr>
                <w:rFonts w:hint="eastAsia" w:ascii="宋体" w:hAnsi="宋体" w:eastAsia="宋体" w:cs="宋体"/>
                <w:lang w:eastAsia="zh-CN" w:bidi="ar"/>
              </w:rPr>
              <w:t>4.满足设计图纸、相关规范、招标文件及其技术要求</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套</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21</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21</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52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88</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textAlignment w:val="center"/>
              <w:rPr>
                <w:rFonts w:ascii="宋体" w:hAnsi="宋体" w:eastAsia="宋体" w:cs="宋体"/>
              </w:rPr>
            </w:pPr>
            <w:r>
              <w:rPr>
                <w:rFonts w:hint="eastAsia" w:ascii="宋体" w:hAnsi="宋体" w:eastAsia="宋体" w:cs="宋体"/>
                <w:lang w:eastAsia="zh-CN" w:bidi="ar"/>
              </w:rPr>
              <w:t>030404035002</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rPr>
            </w:pPr>
            <w:r>
              <w:rPr>
                <w:rFonts w:hint="eastAsia" w:ascii="宋体" w:hAnsi="宋体" w:eastAsia="宋体" w:cs="宋体"/>
                <w:lang w:eastAsia="zh-CN" w:bidi="ar"/>
              </w:rPr>
              <w:t>插座</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施耐德</w:t>
            </w: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1.名称:单相二三孔组合暗插座 </w:t>
            </w:r>
            <w:r>
              <w:rPr>
                <w:rFonts w:hint="eastAsia" w:ascii="宋体" w:hAnsi="宋体" w:eastAsia="宋体" w:cs="宋体"/>
                <w:lang w:eastAsia="zh-CN" w:bidi="ar"/>
              </w:rPr>
              <w:br w:type="textWrapping"/>
            </w:r>
            <w:r>
              <w:rPr>
                <w:rFonts w:hint="eastAsia" w:ascii="宋体" w:hAnsi="宋体" w:eastAsia="宋体" w:cs="宋体"/>
                <w:lang w:eastAsia="zh-CN" w:bidi="ar"/>
              </w:rPr>
              <w:t>2.满足设计图纸、相关规范、招标文件及其技术要求</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2459</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500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52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89</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textAlignment w:val="center"/>
              <w:rPr>
                <w:rFonts w:ascii="宋体" w:hAnsi="宋体" w:eastAsia="宋体" w:cs="宋体"/>
              </w:rPr>
            </w:pPr>
            <w:r>
              <w:rPr>
                <w:rFonts w:hint="eastAsia" w:ascii="宋体" w:hAnsi="宋体" w:eastAsia="宋体" w:cs="宋体"/>
                <w:lang w:eastAsia="zh-CN" w:bidi="ar"/>
              </w:rPr>
              <w:t>030404034002</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rPr>
            </w:pPr>
            <w:r>
              <w:rPr>
                <w:rFonts w:hint="eastAsia" w:ascii="宋体" w:hAnsi="宋体" w:eastAsia="宋体" w:cs="宋体"/>
                <w:lang w:eastAsia="zh-CN" w:bidi="ar"/>
              </w:rPr>
              <w:t>照明开关</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施耐德</w:t>
            </w: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1.名称:紫外线单控开关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2.规格:250V,10A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3.安装方式:暗装 </w:t>
            </w:r>
            <w:r>
              <w:rPr>
                <w:rFonts w:hint="eastAsia" w:ascii="宋体" w:hAnsi="宋体" w:eastAsia="宋体" w:cs="宋体"/>
                <w:lang w:eastAsia="zh-CN" w:bidi="ar"/>
              </w:rPr>
              <w:br w:type="textWrapping"/>
            </w:r>
            <w:r>
              <w:rPr>
                <w:rFonts w:hint="eastAsia" w:ascii="宋体" w:hAnsi="宋体" w:eastAsia="宋体" w:cs="宋体"/>
                <w:lang w:eastAsia="zh-CN" w:bidi="ar"/>
              </w:rPr>
              <w:t>4.满足设计图纸、相关规范、招标文件及其技术要求</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8</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52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90</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textAlignment w:val="center"/>
              <w:rPr>
                <w:rFonts w:ascii="宋体" w:hAnsi="宋体" w:eastAsia="宋体" w:cs="宋体"/>
              </w:rPr>
            </w:pPr>
            <w:r>
              <w:rPr>
                <w:rFonts w:hint="eastAsia" w:ascii="宋体" w:hAnsi="宋体" w:eastAsia="宋体" w:cs="宋体"/>
                <w:lang w:eastAsia="zh-CN" w:bidi="ar"/>
              </w:rPr>
              <w:t>030411006001</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rPr>
            </w:pPr>
            <w:r>
              <w:rPr>
                <w:rFonts w:hint="eastAsia" w:ascii="宋体" w:hAnsi="宋体" w:eastAsia="宋体" w:cs="宋体"/>
                <w:lang w:eastAsia="zh-CN" w:bidi="ar"/>
              </w:rPr>
              <w:t>接线盒</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联塑</w:t>
            </w: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1.名称:明装接线盒 </w:t>
            </w:r>
            <w:r>
              <w:rPr>
                <w:rFonts w:hint="eastAsia" w:ascii="宋体" w:hAnsi="宋体" w:eastAsia="宋体" w:cs="宋体"/>
                <w:lang w:eastAsia="zh-CN" w:bidi="ar"/>
              </w:rPr>
              <w:br w:type="textWrapping"/>
            </w:r>
            <w:r>
              <w:rPr>
                <w:rFonts w:hint="eastAsia" w:ascii="宋体" w:hAnsi="宋体" w:eastAsia="宋体" w:cs="宋体"/>
                <w:lang w:eastAsia="zh-CN" w:bidi="ar"/>
              </w:rPr>
              <w:t>2.满足设计图纸、相关规范、招标文件及其技术要求</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2861</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500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405"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lang w:eastAsia="zh-CN"/>
              </w:rPr>
            </w:pPr>
            <w:r>
              <w:rPr>
                <w:rFonts w:hint="eastAsia" w:ascii="宋体" w:hAnsi="宋体" w:eastAsia="宋体" w:cs="宋体"/>
                <w:b/>
                <w:bCs/>
                <w:lang w:eastAsia="zh-CN" w:bidi="ar"/>
              </w:rPr>
              <w:t>资产清单06（空调设备）</w:t>
            </w:r>
          </w:p>
        </w:tc>
      </w:tr>
      <w:tr>
        <w:tblPrEx>
          <w:tblCellMar>
            <w:top w:w="0" w:type="dxa"/>
            <w:left w:w="108" w:type="dxa"/>
            <w:bottom w:w="0" w:type="dxa"/>
            <w:right w:w="108" w:type="dxa"/>
          </w:tblCellMar>
        </w:tblPrEx>
        <w:trPr>
          <w:trHeight w:val="272" w:hRule="atLeast"/>
        </w:trPr>
        <w:tc>
          <w:tcPr>
            <w:tcW w:w="393" w:type="pct"/>
            <w:vMerge w:val="restar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序号</w:t>
            </w:r>
          </w:p>
        </w:tc>
        <w:tc>
          <w:tcPr>
            <w:tcW w:w="515" w:type="pct"/>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项目编码</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项目名称</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品牌</w:t>
            </w:r>
          </w:p>
        </w:tc>
        <w:tc>
          <w:tcPr>
            <w:tcW w:w="648" w:type="pct"/>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项目特征描述</w:t>
            </w:r>
          </w:p>
        </w:tc>
        <w:tc>
          <w:tcPr>
            <w:tcW w:w="453" w:type="pct"/>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计量</w:t>
            </w:r>
            <w:r>
              <w:rPr>
                <w:rFonts w:hint="eastAsia" w:ascii="宋体" w:hAnsi="宋体" w:eastAsia="宋体" w:cs="宋体"/>
                <w:lang w:eastAsia="zh-CN" w:bidi="ar"/>
              </w:rPr>
              <w:br w:type="textWrapping"/>
            </w:r>
            <w:r>
              <w:rPr>
                <w:rFonts w:hint="eastAsia" w:ascii="宋体" w:hAnsi="宋体" w:eastAsia="宋体" w:cs="宋体"/>
                <w:lang w:eastAsia="zh-CN" w:bidi="ar"/>
              </w:rPr>
              <w:t>单位</w:t>
            </w:r>
          </w:p>
        </w:tc>
        <w:tc>
          <w:tcPr>
            <w:tcW w:w="529" w:type="pct"/>
            <w:vMerge w:val="restar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工程量</w:t>
            </w:r>
          </w:p>
        </w:tc>
        <w:tc>
          <w:tcPr>
            <w:tcW w:w="73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处置方案</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肛肠医院需求梳理</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用途</w:t>
            </w:r>
          </w:p>
        </w:tc>
      </w:tr>
      <w:tr>
        <w:tblPrEx>
          <w:tblCellMar>
            <w:top w:w="0" w:type="dxa"/>
            <w:left w:w="108" w:type="dxa"/>
            <w:bottom w:w="0" w:type="dxa"/>
            <w:right w:w="108" w:type="dxa"/>
          </w:tblCellMar>
        </w:tblPrEx>
        <w:trPr>
          <w:trHeight w:val="272"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rPr>
            </w:pPr>
          </w:p>
        </w:tc>
        <w:tc>
          <w:tcPr>
            <w:tcW w:w="515" w:type="pct"/>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453" w:type="pct"/>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529" w:type="pct"/>
            <w:vMerge w:val="continue"/>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rPr>
            </w:pPr>
          </w:p>
        </w:tc>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rPr>
            </w:pPr>
          </w:p>
        </w:tc>
      </w:tr>
      <w:tr>
        <w:tblPrEx>
          <w:tblCellMar>
            <w:top w:w="0" w:type="dxa"/>
            <w:left w:w="108" w:type="dxa"/>
            <w:bottom w:w="0" w:type="dxa"/>
            <w:right w:w="108" w:type="dxa"/>
          </w:tblCellMar>
        </w:tblPrEx>
        <w:trPr>
          <w:trHeight w:val="675"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textAlignment w:val="center"/>
              <w:rPr>
                <w:rFonts w:ascii="宋体" w:hAnsi="宋体" w:eastAsia="宋体" w:cs="宋体"/>
              </w:rPr>
            </w:pPr>
            <w:r>
              <w:rPr>
                <w:rFonts w:hint="eastAsia" w:ascii="宋体" w:hAnsi="宋体" w:eastAsia="宋体" w:cs="宋体"/>
                <w:lang w:eastAsia="zh-CN" w:bidi="ar"/>
              </w:rPr>
              <w:t>030701003002</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空调器</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美的、格力</w:t>
            </w: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1.名称:变频空调1.5P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2.型号:KFR-35GW/(35563)FNhAa-B3 </w:t>
            </w:r>
            <w:r>
              <w:rPr>
                <w:rFonts w:hint="eastAsia" w:ascii="宋体" w:hAnsi="宋体" w:eastAsia="宋体" w:cs="宋体"/>
                <w:lang w:eastAsia="zh-CN" w:bidi="ar"/>
              </w:rPr>
              <w:br w:type="textWrapping"/>
            </w:r>
            <w:r>
              <w:rPr>
                <w:rFonts w:hint="eastAsia" w:ascii="宋体" w:hAnsi="宋体" w:eastAsia="宋体" w:cs="宋体"/>
                <w:lang w:eastAsia="zh-CN" w:bidi="ar"/>
              </w:rPr>
              <w:t>3.规格:1.5p</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452</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70台</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600"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eastAsia="zh-CN" w:bidi="ar"/>
              </w:rPr>
              <w:t>资产清单09（热水器）</w:t>
            </w:r>
          </w:p>
        </w:tc>
      </w:tr>
      <w:tr>
        <w:tblPrEx>
          <w:tblCellMar>
            <w:top w:w="0" w:type="dxa"/>
            <w:left w:w="108" w:type="dxa"/>
            <w:bottom w:w="0" w:type="dxa"/>
            <w:right w:w="108" w:type="dxa"/>
          </w:tblCellMar>
        </w:tblPrEx>
        <w:trPr>
          <w:trHeight w:val="600" w:hRule="atLeast"/>
        </w:trPr>
        <w:tc>
          <w:tcPr>
            <w:tcW w:w="393" w:type="pct"/>
            <w:vMerge w:val="restart"/>
            <w:tcBorders>
              <w:top w:val="nil"/>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序号</w:t>
            </w:r>
          </w:p>
        </w:tc>
        <w:tc>
          <w:tcPr>
            <w:tcW w:w="515" w:type="pct"/>
            <w:vMerge w:val="restart"/>
            <w:tcBorders>
              <w:top w:val="nil"/>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项目编码</w:t>
            </w:r>
          </w:p>
        </w:tc>
        <w:tc>
          <w:tcPr>
            <w:tcW w:w="449" w:type="pct"/>
            <w:vMerge w:val="restart"/>
            <w:tcBorders>
              <w:top w:val="nil"/>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项目名称</w:t>
            </w:r>
          </w:p>
        </w:tc>
        <w:tc>
          <w:tcPr>
            <w:tcW w:w="253" w:type="pct"/>
            <w:vMerge w:val="restart"/>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品牌</w:t>
            </w:r>
          </w:p>
        </w:tc>
        <w:tc>
          <w:tcPr>
            <w:tcW w:w="648" w:type="pct"/>
            <w:vMerge w:val="restart"/>
            <w:tcBorders>
              <w:top w:val="nil"/>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rPr>
            </w:pPr>
            <w:r>
              <w:rPr>
                <w:rFonts w:hint="eastAsia" w:ascii="宋体" w:hAnsi="宋体" w:eastAsia="宋体" w:cs="宋体"/>
                <w:lang w:eastAsia="zh-CN" w:bidi="ar"/>
              </w:rPr>
              <w:t>项目特征描述</w:t>
            </w:r>
          </w:p>
        </w:tc>
        <w:tc>
          <w:tcPr>
            <w:tcW w:w="453" w:type="pct"/>
            <w:vMerge w:val="restart"/>
            <w:tcBorders>
              <w:top w:val="nil"/>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计量</w:t>
            </w:r>
            <w:r>
              <w:rPr>
                <w:rFonts w:hint="eastAsia" w:ascii="宋体" w:hAnsi="宋体" w:eastAsia="宋体" w:cs="宋体"/>
                <w:lang w:eastAsia="zh-CN" w:bidi="ar"/>
              </w:rPr>
              <w:br w:type="textWrapping"/>
            </w:r>
            <w:r>
              <w:rPr>
                <w:rFonts w:hint="eastAsia" w:ascii="宋体" w:hAnsi="宋体" w:eastAsia="宋体" w:cs="宋体"/>
                <w:lang w:eastAsia="zh-CN" w:bidi="ar"/>
              </w:rPr>
              <w:t>单位</w:t>
            </w:r>
          </w:p>
        </w:tc>
        <w:tc>
          <w:tcPr>
            <w:tcW w:w="529" w:type="pct"/>
            <w:vMerge w:val="restart"/>
            <w:tcBorders>
              <w:top w:val="nil"/>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工程量</w:t>
            </w:r>
          </w:p>
        </w:tc>
        <w:tc>
          <w:tcPr>
            <w:tcW w:w="732" w:type="pct"/>
            <w:vMerge w:val="restart"/>
            <w:tcBorders>
              <w:top w:val="nil"/>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处置方案</w:t>
            </w:r>
          </w:p>
        </w:tc>
        <w:tc>
          <w:tcPr>
            <w:tcW w:w="649" w:type="pct"/>
            <w:vMerge w:val="restart"/>
            <w:tcBorders>
              <w:top w:val="nil"/>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肛肠医院需求梳理</w:t>
            </w:r>
          </w:p>
        </w:tc>
        <w:tc>
          <w:tcPr>
            <w:tcW w:w="374" w:type="pct"/>
            <w:vMerge w:val="restart"/>
            <w:tcBorders>
              <w:top w:val="nil"/>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用途</w:t>
            </w:r>
          </w:p>
        </w:tc>
      </w:tr>
      <w:tr>
        <w:tblPrEx>
          <w:tblCellMar>
            <w:top w:w="0" w:type="dxa"/>
            <w:left w:w="108" w:type="dxa"/>
            <w:bottom w:w="0" w:type="dxa"/>
            <w:right w:w="108" w:type="dxa"/>
          </w:tblCellMar>
        </w:tblPrEx>
        <w:trPr>
          <w:trHeight w:val="600" w:hRule="atLeast"/>
        </w:trPr>
        <w:tc>
          <w:tcPr>
            <w:tcW w:w="393" w:type="pct"/>
            <w:vMerge w:val="continue"/>
            <w:tcBorders>
              <w:top w:val="nil"/>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rPr>
            </w:pPr>
          </w:p>
        </w:tc>
        <w:tc>
          <w:tcPr>
            <w:tcW w:w="515" w:type="pct"/>
            <w:vMerge w:val="continue"/>
            <w:tcBorders>
              <w:top w:val="nil"/>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449" w:type="pct"/>
            <w:vMerge w:val="continue"/>
            <w:tcBorders>
              <w:top w:val="nil"/>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25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648" w:type="pct"/>
            <w:vMerge w:val="continue"/>
            <w:tcBorders>
              <w:top w:val="nil"/>
              <w:left w:val="single" w:color="000000" w:sz="4" w:space="0"/>
              <w:bottom w:val="single" w:color="000000" w:sz="4" w:space="0"/>
              <w:right w:val="single" w:color="000000" w:sz="4" w:space="0"/>
            </w:tcBorders>
            <w:shd w:val="clear" w:color="000000" w:fill="FFFFFF"/>
            <w:vAlign w:val="center"/>
          </w:tcPr>
          <w:p>
            <w:pPr>
              <w:rPr>
                <w:rFonts w:ascii="宋体" w:hAnsi="宋体" w:eastAsia="宋体" w:cs="宋体"/>
              </w:rPr>
            </w:pPr>
          </w:p>
        </w:tc>
        <w:tc>
          <w:tcPr>
            <w:tcW w:w="453" w:type="pct"/>
            <w:vMerge w:val="continue"/>
            <w:tcBorders>
              <w:top w:val="nil"/>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rPr>
            </w:pPr>
          </w:p>
        </w:tc>
        <w:tc>
          <w:tcPr>
            <w:tcW w:w="529" w:type="pct"/>
            <w:vMerge w:val="continue"/>
            <w:tcBorders>
              <w:top w:val="nil"/>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rPr>
            </w:pPr>
          </w:p>
        </w:tc>
        <w:tc>
          <w:tcPr>
            <w:tcW w:w="732"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rPr>
            </w:pPr>
          </w:p>
        </w:tc>
        <w:tc>
          <w:tcPr>
            <w:tcW w:w="649"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rPr>
            </w:pPr>
          </w:p>
        </w:tc>
        <w:tc>
          <w:tcPr>
            <w:tcW w:w="374"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rPr>
            </w:pPr>
          </w:p>
        </w:tc>
      </w:tr>
      <w:tr>
        <w:tblPrEx>
          <w:tblCellMar>
            <w:top w:w="0" w:type="dxa"/>
            <w:left w:w="108" w:type="dxa"/>
            <w:bottom w:w="0" w:type="dxa"/>
            <w:right w:w="108" w:type="dxa"/>
          </w:tblCellMar>
        </w:tblPrEx>
        <w:trPr>
          <w:trHeight w:val="60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1</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031006012002</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热水器、开水炉</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万和、美的</w:t>
            </w: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1.能源种类:热水器80升带电脑板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2.型号、容积:E80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3.安装方式:挂式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4.水施配套件:金属软管、三角阀等水设备配套件 </w:t>
            </w:r>
            <w:r>
              <w:rPr>
                <w:rFonts w:hint="eastAsia" w:ascii="宋体" w:hAnsi="宋体" w:eastAsia="宋体" w:cs="宋体"/>
                <w:lang w:eastAsia="zh-CN" w:bidi="ar"/>
              </w:rPr>
              <w:br w:type="textWrapping"/>
            </w:r>
            <w:r>
              <w:rPr>
                <w:rFonts w:hint="eastAsia" w:ascii="宋体" w:hAnsi="宋体" w:eastAsia="宋体" w:cs="宋体"/>
                <w:lang w:eastAsia="zh-CN" w:bidi="ar"/>
              </w:rPr>
              <w:t>5.电施配套件:带漏电保护安全插头待电设备配套件</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台</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395</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Fonts w:hint="eastAsia" w:ascii="宋体" w:hAnsi="宋体" w:eastAsia="宋体" w:cs="宋体"/>
                <w:lang w:eastAsia="zh-CN" w:bidi="ar"/>
              </w:rPr>
              <w:t>40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60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3</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031004017002</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冷热水混合器</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rPr>
            </w:pP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1.类型:电热水器铜质冷热水混合龙头 </w:t>
            </w:r>
            <w:r>
              <w:rPr>
                <w:rFonts w:hint="eastAsia" w:ascii="宋体" w:hAnsi="宋体" w:eastAsia="宋体" w:cs="宋体"/>
                <w:lang w:eastAsia="zh-CN" w:bidi="ar"/>
              </w:rPr>
              <w:br w:type="textWrapping"/>
            </w:r>
            <w:r>
              <w:rPr>
                <w:rFonts w:hint="eastAsia" w:ascii="宋体" w:hAnsi="宋体" w:eastAsia="宋体" w:cs="宋体"/>
                <w:lang w:eastAsia="zh-CN" w:bidi="ar"/>
              </w:rPr>
              <w:t>2.型号、规格:DN15</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套</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395</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保护性拆除，可二次利用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textAlignment w:val="bottom"/>
              <w:rPr>
                <w:rFonts w:ascii="宋体" w:hAnsi="宋体" w:eastAsia="宋体" w:cs="宋体"/>
              </w:rPr>
            </w:pPr>
            <w:r>
              <w:rPr>
                <w:rFonts w:hint="eastAsia" w:ascii="宋体" w:hAnsi="宋体" w:eastAsia="宋体" w:cs="宋体"/>
                <w:lang w:eastAsia="zh-CN" w:bidi="ar"/>
              </w:rPr>
              <w:t>40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r>
        <w:tblPrEx>
          <w:tblCellMar>
            <w:top w:w="0" w:type="dxa"/>
            <w:left w:w="108" w:type="dxa"/>
            <w:bottom w:w="0" w:type="dxa"/>
            <w:right w:w="108" w:type="dxa"/>
          </w:tblCellMar>
        </w:tblPrEx>
        <w:trPr>
          <w:trHeight w:val="600" w:hRule="atLeast"/>
        </w:trPr>
        <w:tc>
          <w:tcPr>
            <w:tcW w:w="393"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4</w:t>
            </w:r>
          </w:p>
        </w:tc>
        <w:tc>
          <w:tcPr>
            <w:tcW w:w="515"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030703020003</w:t>
            </w:r>
          </w:p>
        </w:tc>
        <w:tc>
          <w:tcPr>
            <w:tcW w:w="44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lang w:eastAsia="zh-CN"/>
              </w:rPr>
            </w:pPr>
            <w:r>
              <w:rPr>
                <w:rFonts w:hint="eastAsia" w:ascii="宋体" w:hAnsi="宋体" w:eastAsia="宋体" w:cs="宋体"/>
                <w:lang w:eastAsia="zh-CN" w:bidi="ar"/>
              </w:rPr>
              <w:t>热水器设备不锈钢支架</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lang w:eastAsia="zh-CN"/>
              </w:rPr>
            </w:pPr>
          </w:p>
        </w:tc>
        <w:tc>
          <w:tcPr>
            <w:tcW w:w="6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textAlignment w:val="center"/>
              <w:rPr>
                <w:rFonts w:ascii="宋体" w:hAnsi="宋体" w:eastAsia="宋体" w:cs="宋体"/>
                <w:lang w:eastAsia="zh-CN"/>
              </w:rPr>
            </w:pPr>
            <w:r>
              <w:rPr>
                <w:rFonts w:hint="eastAsia" w:ascii="宋体" w:hAnsi="宋体" w:eastAsia="宋体" w:cs="宋体"/>
                <w:lang w:eastAsia="zh-CN" w:bidi="ar"/>
              </w:rPr>
              <w:t xml:space="preserve">1.名称:设备支架制作安装 </w:t>
            </w:r>
            <w:r>
              <w:rPr>
                <w:rFonts w:hint="eastAsia" w:ascii="宋体" w:hAnsi="宋体" w:eastAsia="宋体" w:cs="宋体"/>
                <w:lang w:eastAsia="zh-CN" w:bidi="ar"/>
              </w:rPr>
              <w:br w:type="textWrapping"/>
            </w:r>
            <w:r>
              <w:rPr>
                <w:rFonts w:hint="eastAsia" w:ascii="宋体" w:hAnsi="宋体" w:eastAsia="宋体" w:cs="宋体"/>
                <w:lang w:eastAsia="zh-CN" w:bidi="ar"/>
              </w:rPr>
              <w:t xml:space="preserve">2.规格:800*600*500 </w:t>
            </w:r>
            <w:r>
              <w:rPr>
                <w:rFonts w:hint="eastAsia" w:ascii="宋体" w:hAnsi="宋体" w:eastAsia="宋体" w:cs="宋体"/>
                <w:lang w:eastAsia="zh-CN" w:bidi="ar"/>
              </w:rPr>
              <w:br w:type="textWrapping"/>
            </w:r>
            <w:r>
              <w:rPr>
                <w:rFonts w:hint="eastAsia" w:ascii="宋体" w:hAnsi="宋体" w:eastAsia="宋体" w:cs="宋体"/>
                <w:lang w:eastAsia="zh-CN" w:bidi="ar"/>
              </w:rPr>
              <w:t>3.材质:40*40*2方管304不锈钢</w:t>
            </w:r>
          </w:p>
        </w:tc>
        <w:tc>
          <w:tcPr>
            <w:tcW w:w="4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textAlignment w:val="center"/>
              <w:rPr>
                <w:rFonts w:ascii="宋体" w:hAnsi="宋体" w:eastAsia="宋体" w:cs="宋体"/>
              </w:rPr>
            </w:pPr>
            <w:r>
              <w:rPr>
                <w:rFonts w:hint="eastAsia" w:ascii="宋体" w:hAnsi="宋体" w:eastAsia="宋体" w:cs="宋体"/>
                <w:lang w:eastAsia="zh-CN" w:bidi="ar"/>
              </w:rPr>
              <w:t>个</w:t>
            </w:r>
          </w:p>
        </w:tc>
        <w:tc>
          <w:tcPr>
            <w:tcW w:w="529"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textAlignment w:val="center"/>
              <w:rPr>
                <w:rFonts w:ascii="宋体" w:hAnsi="宋体" w:eastAsia="宋体" w:cs="宋体"/>
              </w:rPr>
            </w:pPr>
            <w:r>
              <w:rPr>
                <w:rFonts w:hint="eastAsia" w:ascii="宋体" w:hAnsi="宋体" w:eastAsia="宋体" w:cs="宋体"/>
                <w:lang w:eastAsia="zh-CN" w:bidi="ar"/>
              </w:rPr>
              <w:t>395</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eastAsia="zh-CN" w:bidi="ar"/>
              </w:rPr>
              <w:t>不可二次利用</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textAlignment w:val="bottom"/>
              <w:rPr>
                <w:rFonts w:ascii="宋体" w:hAnsi="宋体" w:eastAsia="宋体" w:cs="宋体"/>
              </w:rPr>
            </w:pPr>
            <w:r>
              <w:rPr>
                <w:rFonts w:hint="eastAsia" w:ascii="宋体" w:hAnsi="宋体" w:eastAsia="宋体" w:cs="宋体"/>
                <w:lang w:eastAsia="zh-CN" w:bidi="ar"/>
              </w:rPr>
              <w:t>40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rPr>
            </w:pPr>
            <w:r>
              <w:rPr>
                <w:rStyle w:val="7"/>
                <w:sz w:val="21"/>
                <w:szCs w:val="21"/>
                <w:lang w:eastAsia="zh-CN" w:bidi="ar"/>
              </w:rPr>
              <w:t>旧楼</w:t>
            </w:r>
          </w:p>
        </w:tc>
      </w:tr>
    </w:tbl>
    <w:p/>
    <w:p>
      <w:pPr>
        <w:rPr>
          <w:rFonts w:ascii="宋体" w:hAnsi="宋体" w:eastAsia="宋体" w:cs="宋体"/>
          <w:b/>
          <w:sz w:val="24"/>
          <w:szCs w:val="24"/>
          <w:lang w:eastAsia="zh-CN"/>
        </w:rPr>
      </w:pPr>
      <w:r>
        <w:rPr>
          <w:rFonts w:hint="eastAsia" w:ascii="宋体" w:hAnsi="宋体" w:eastAsia="宋体" w:cs="宋体"/>
          <w:b/>
          <w:sz w:val="24"/>
          <w:szCs w:val="24"/>
          <w:lang w:eastAsia="zh-CN"/>
        </w:rPr>
        <w:br w:type="page"/>
      </w:r>
    </w:p>
    <w:p>
      <w:pPr>
        <w:numPr>
          <w:ilvl w:val="0"/>
          <w:numId w:val="1"/>
        </w:numPr>
        <w:ind w:firstLine="0"/>
        <w:outlineLvl w:val="1"/>
        <w:rPr>
          <w:b/>
          <w:bCs/>
          <w:sz w:val="24"/>
          <w:szCs w:val="24"/>
          <w:lang w:eastAsia="zh-CN"/>
        </w:rPr>
      </w:pPr>
      <w:r>
        <w:rPr>
          <w:rFonts w:hint="eastAsia"/>
          <w:b/>
          <w:bCs/>
          <w:sz w:val="24"/>
          <w:szCs w:val="24"/>
          <w:lang w:eastAsia="zh-CN"/>
        </w:rPr>
        <w:t>技术需求</w:t>
      </w:r>
    </w:p>
    <w:p>
      <w:pPr>
        <w:kinsoku/>
        <w:spacing w:line="360" w:lineRule="auto"/>
        <w:ind w:firstLine="480" w:firstLineChars="200"/>
        <w:rPr>
          <w:rFonts w:ascii="宋体" w:hAnsi="宋体" w:eastAsia="宋体" w:cs="宋体"/>
          <w:sz w:val="24"/>
          <w:szCs w:val="24"/>
          <w:lang w:val="zh-CN" w:eastAsia="zh-CN"/>
        </w:rPr>
      </w:pPr>
      <w:r>
        <w:rPr>
          <w:rFonts w:hint="eastAsia" w:ascii="宋体" w:hAnsi="宋体" w:eastAsia="宋体" w:cs="宋体"/>
          <w:sz w:val="24"/>
          <w:szCs w:val="24"/>
          <w:lang w:val="zh-CN" w:eastAsia="zh-CN"/>
        </w:rPr>
        <w:t>投标人需根据</w:t>
      </w:r>
      <w:r>
        <w:rPr>
          <w:rFonts w:hint="eastAsia" w:ascii="宋体" w:hAnsi="宋体" w:eastAsia="宋体" w:cs="宋体"/>
          <w:sz w:val="24"/>
          <w:szCs w:val="24"/>
          <w:lang w:eastAsia="zh-CN"/>
        </w:rPr>
        <w:t>采购</w:t>
      </w:r>
      <w:r>
        <w:rPr>
          <w:rFonts w:hint="eastAsia" w:ascii="宋体" w:hAnsi="宋体" w:eastAsia="宋体" w:cs="宋体"/>
          <w:sz w:val="24"/>
          <w:szCs w:val="24"/>
          <w:lang w:val="zh-CN" w:eastAsia="zh-CN"/>
        </w:rPr>
        <w:t>人项目情况，对</w:t>
      </w:r>
      <w:r>
        <w:rPr>
          <w:rFonts w:hint="eastAsia" w:ascii="宋体" w:hAnsi="宋体" w:eastAsia="宋体" w:cs="宋体"/>
          <w:sz w:val="24"/>
          <w:szCs w:val="24"/>
          <w:lang w:eastAsia="zh-CN"/>
        </w:rPr>
        <w:t>采购</w:t>
      </w:r>
      <w:r>
        <w:rPr>
          <w:rFonts w:hint="eastAsia" w:ascii="宋体" w:hAnsi="宋体" w:eastAsia="宋体" w:cs="宋体"/>
          <w:sz w:val="24"/>
          <w:szCs w:val="24"/>
          <w:lang w:val="zh-CN" w:eastAsia="zh-CN"/>
        </w:rPr>
        <w:t>人新址和旧址进行勘察基础上提供详细的书面搬迁规划方案，指定项目技术负责人跟进搬迁实施，方案包括但不限于：</w:t>
      </w:r>
    </w:p>
    <w:p>
      <w:pPr>
        <w:tabs>
          <w:tab w:val="left" w:pos="426"/>
        </w:tabs>
        <w:kinsoku/>
        <w:spacing w:line="360" w:lineRule="auto"/>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（一）迁移前规划，包括对搬迁涉及的一切物品旧址和新址的勘察情况说明，特别是涉及水电气管网等的保障性设施及待整改方案能否满足精密分析仪器安装的条件；</w:t>
      </w:r>
    </w:p>
    <w:p>
      <w:pPr>
        <w:tabs>
          <w:tab w:val="left" w:pos="426"/>
        </w:tabs>
        <w:kinsoku/>
        <w:spacing w:line="360" w:lineRule="auto"/>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（二）搬迁流程方案及各阶段时间节点；</w:t>
      </w:r>
    </w:p>
    <w:p>
      <w:pPr>
        <w:tabs>
          <w:tab w:val="left" w:pos="426"/>
        </w:tabs>
        <w:kinsoku/>
        <w:spacing w:line="360" w:lineRule="auto"/>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（三）车辆运输及工具配置方案；</w:t>
      </w:r>
    </w:p>
    <w:p>
      <w:pPr>
        <w:tabs>
          <w:tab w:val="left" w:pos="426"/>
        </w:tabs>
        <w:kinsoku/>
        <w:spacing w:line="360" w:lineRule="auto"/>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（四）路线规划方案；</w:t>
      </w:r>
    </w:p>
    <w:p>
      <w:pPr>
        <w:tabs>
          <w:tab w:val="left" w:pos="426"/>
        </w:tabs>
        <w:kinsoku/>
        <w:spacing w:line="360" w:lineRule="auto"/>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（五）人员配置方案及相关专业资质提供；</w:t>
      </w:r>
    </w:p>
    <w:p>
      <w:pPr>
        <w:tabs>
          <w:tab w:val="left" w:pos="426"/>
        </w:tabs>
        <w:kinsoku/>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lang w:eastAsia="zh-CN"/>
        </w:rPr>
        <w:t>（七）仪器迁移顺序及定位规划方案；</w:t>
      </w:r>
    </w:p>
    <w:p>
      <w:pPr>
        <w:tabs>
          <w:tab w:val="left" w:pos="426"/>
        </w:tabs>
        <w:kinsoku/>
        <w:spacing w:line="360" w:lineRule="auto"/>
        <w:ind w:firstLine="480" w:firstLineChars="200"/>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八</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本次拆装属于“保护性拆除”，投标人须保证拆装过程中的设备功能、外观、性能的完整性。</w:t>
      </w:r>
    </w:p>
    <w:p>
      <w:pPr>
        <w:spacing w:line="360" w:lineRule="auto"/>
        <w:ind w:firstLine="411" w:firstLineChars="196"/>
        <w:rPr>
          <w:rFonts w:ascii="宋体" w:hAnsi="宋体"/>
          <w:lang w:eastAsia="zh-CN"/>
        </w:rPr>
      </w:pPr>
    </w:p>
    <w:p>
      <w:pPr>
        <w:numPr>
          <w:ilvl w:val="0"/>
          <w:numId w:val="1"/>
        </w:numPr>
        <w:ind w:firstLine="0"/>
        <w:outlineLvl w:val="1"/>
        <w:rPr>
          <w:b/>
          <w:bCs/>
          <w:sz w:val="24"/>
          <w:szCs w:val="24"/>
          <w:lang w:eastAsia="zh-CN"/>
        </w:rPr>
      </w:pPr>
      <w:r>
        <w:rPr>
          <w:rFonts w:hint="eastAsia"/>
          <w:b/>
          <w:bCs/>
          <w:sz w:val="24"/>
          <w:szCs w:val="24"/>
          <w:lang w:eastAsia="zh-CN"/>
        </w:rPr>
        <w:t>商务需求</w:t>
      </w:r>
    </w:p>
    <w:p>
      <w:pPr>
        <w:spacing w:line="360" w:lineRule="auto"/>
        <w:ind w:firstLine="420"/>
        <w:rPr>
          <w:b/>
          <w:bCs/>
          <w:color w:val="FF0000"/>
          <w:lang w:eastAsia="zh-CN"/>
        </w:rPr>
      </w:pPr>
      <w:r>
        <w:rPr>
          <w:rFonts w:hint="eastAsia"/>
          <w:b/>
          <w:bCs/>
          <w:color w:val="FF0000"/>
          <w:lang w:eastAsia="zh-CN"/>
        </w:rPr>
        <w:t>（以下“商务条款要求”均为“★”实质性条款，不允许负偏离，否则按无效投标处理）</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492"/>
        <w:gridCol w:w="6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85" w:type="pct"/>
            <w:shd w:val="clear" w:color="auto" w:fill="BEBEBE"/>
            <w:vAlign w:val="center"/>
          </w:tcPr>
          <w:p>
            <w:pPr>
              <w:spacing w:line="360" w:lineRule="auto"/>
              <w:jc w:val="center"/>
              <w:rPr>
                <w:rFonts w:ascii="宋体" w:hAnsi="宋体" w:cs="宋体"/>
                <w:b/>
              </w:rPr>
            </w:pPr>
            <w:r>
              <w:rPr>
                <w:rFonts w:hint="eastAsia" w:ascii="宋体" w:hAnsi="宋体" w:cs="宋体"/>
                <w:b/>
              </w:rPr>
              <w:t>序号</w:t>
            </w:r>
          </w:p>
        </w:tc>
        <w:tc>
          <w:tcPr>
            <w:tcW w:w="875" w:type="pct"/>
            <w:shd w:val="clear" w:color="auto" w:fill="BEBEBE"/>
            <w:vAlign w:val="center"/>
          </w:tcPr>
          <w:p>
            <w:pPr>
              <w:spacing w:line="360" w:lineRule="auto"/>
              <w:jc w:val="center"/>
              <w:rPr>
                <w:rFonts w:ascii="宋体" w:hAnsi="宋体" w:cs="宋体"/>
                <w:b/>
              </w:rPr>
            </w:pPr>
            <w:r>
              <w:rPr>
                <w:rFonts w:hint="eastAsia" w:ascii="宋体" w:hAnsi="宋体" w:cs="宋体"/>
                <w:b/>
              </w:rPr>
              <w:t>目录</w:t>
            </w:r>
          </w:p>
        </w:tc>
        <w:tc>
          <w:tcPr>
            <w:tcW w:w="3839" w:type="pct"/>
            <w:shd w:val="clear" w:color="auto" w:fill="BEBEBE"/>
            <w:vAlign w:val="center"/>
          </w:tcPr>
          <w:p>
            <w:pPr>
              <w:spacing w:line="360" w:lineRule="auto"/>
              <w:jc w:val="center"/>
              <w:rPr>
                <w:rFonts w:ascii="宋体" w:hAnsi="宋体" w:cs="宋体"/>
                <w:b/>
              </w:rPr>
            </w:pPr>
            <w:r>
              <w:rPr>
                <w:rFonts w:hint="eastAsia" w:ascii="宋体" w:hAnsi="宋体" w:cs="宋体"/>
                <w:b/>
              </w:rPr>
              <w:t>★商务条款要求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85" w:type="pct"/>
            <w:vAlign w:val="center"/>
          </w:tcPr>
          <w:p>
            <w:pPr>
              <w:spacing w:line="360" w:lineRule="auto"/>
              <w:rPr>
                <w:rFonts w:ascii="宋体" w:hAnsi="宋体" w:cs="宋体"/>
              </w:rPr>
            </w:pPr>
            <w:r>
              <w:rPr>
                <w:rFonts w:hint="eastAsia" w:ascii="宋体" w:hAnsi="宋体" w:cs="宋体"/>
              </w:rPr>
              <w:t>1</w:t>
            </w:r>
          </w:p>
        </w:tc>
        <w:tc>
          <w:tcPr>
            <w:tcW w:w="875" w:type="pct"/>
            <w:vAlign w:val="center"/>
          </w:tcPr>
          <w:p>
            <w:pPr>
              <w:spacing w:line="360" w:lineRule="auto"/>
              <w:rPr>
                <w:rFonts w:ascii="宋体" w:hAnsi="宋体" w:eastAsia="宋体" w:cs="宋体"/>
                <w:lang w:eastAsia="zh-CN"/>
              </w:rPr>
            </w:pPr>
            <w:r>
              <w:rPr>
                <w:rFonts w:hint="eastAsia" w:ascii="宋体" w:hAnsi="宋体" w:eastAsia="宋体" w:cs="宋体"/>
                <w:lang w:eastAsia="zh-CN"/>
              </w:rPr>
              <w:t>工期要求</w:t>
            </w:r>
          </w:p>
        </w:tc>
        <w:tc>
          <w:tcPr>
            <w:tcW w:w="3839" w:type="pct"/>
            <w:vAlign w:val="center"/>
          </w:tcPr>
          <w:p>
            <w:pPr>
              <w:spacing w:line="360" w:lineRule="auto"/>
              <w:rPr>
                <w:rFonts w:ascii="宋体" w:hAnsi="宋体" w:eastAsia="宋体" w:cs="宋体"/>
                <w:bCs/>
                <w:highlight w:val="yellow"/>
                <w:lang w:eastAsia="zh-CN"/>
              </w:rPr>
            </w:pPr>
            <w:r>
              <w:rPr>
                <w:rFonts w:hint="eastAsia" w:ascii="宋体" w:hAnsi="宋体" w:eastAsia="宋体" w:cs="宋体"/>
                <w:bCs/>
                <w:highlight w:val="yellow"/>
                <w:lang w:eastAsia="zh-CN"/>
              </w:rPr>
              <w:t>1.</w:t>
            </w:r>
            <w:r>
              <w:rPr>
                <w:rFonts w:hint="eastAsia" w:ascii="宋体" w:hAnsi="宋体" w:cs="宋体"/>
                <w:bCs/>
                <w:highlight w:val="yellow"/>
                <w:lang w:eastAsia="zh-CN"/>
              </w:rPr>
              <w:t>自合同签订之日起一年。本项目为</w:t>
            </w:r>
            <w:r>
              <w:rPr>
                <w:rFonts w:hint="eastAsia" w:ascii="宋体" w:hAnsi="宋体" w:eastAsia="宋体" w:cs="宋体"/>
                <w:bCs/>
                <w:highlight w:val="yellow"/>
                <w:lang w:eastAsia="zh-CN"/>
              </w:rPr>
              <w:t>一次性工程类</w:t>
            </w:r>
            <w:r>
              <w:rPr>
                <w:rFonts w:hint="eastAsia" w:ascii="宋体" w:hAnsi="宋体" w:cs="宋体"/>
                <w:bCs/>
                <w:highlight w:val="yellow"/>
                <w:lang w:eastAsia="zh-CN"/>
              </w:rPr>
              <w:t>服务项目</w:t>
            </w:r>
            <w:r>
              <w:rPr>
                <w:rFonts w:hint="eastAsia" w:ascii="宋体" w:hAnsi="宋体" w:eastAsia="宋体" w:cs="宋体"/>
                <w:bCs/>
                <w:highlight w:val="yellow"/>
                <w:lang w:eastAsia="zh-CN"/>
              </w:rPr>
              <w:t>。</w:t>
            </w:r>
          </w:p>
          <w:p>
            <w:pPr>
              <w:spacing w:line="360" w:lineRule="auto"/>
              <w:rPr>
                <w:rFonts w:ascii="宋体" w:hAnsi="宋体" w:cs="宋体"/>
                <w:highlight w:val="yellow"/>
                <w:lang w:eastAsia="zh-CN"/>
              </w:rPr>
            </w:pPr>
            <w:r>
              <w:rPr>
                <w:rFonts w:hint="eastAsia" w:ascii="宋体" w:hAnsi="宋体" w:eastAsia="宋体" w:cs="宋体"/>
                <w:bCs/>
                <w:highlight w:val="yellow"/>
                <w:lang w:eastAsia="zh-CN"/>
              </w:rPr>
              <w:t>2.</w:t>
            </w:r>
            <w:r>
              <w:rPr>
                <w:rFonts w:hint="eastAsia" w:ascii="宋体" w:hAnsi="宋体" w:cs="宋体"/>
                <w:bCs/>
                <w:highlight w:val="yellow"/>
                <w:lang w:eastAsia="zh-CN"/>
              </w:rPr>
              <w:t>有限期直至完成单项工程项目服务约定的服务内容并经采购人验收合格之日为止。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5" w:type="pct"/>
            <w:vAlign w:val="center"/>
          </w:tcPr>
          <w:p>
            <w:pPr>
              <w:spacing w:line="360" w:lineRule="auto"/>
              <w:rPr>
                <w:rFonts w:ascii="宋体" w:hAnsi="宋体" w:cs="宋体"/>
              </w:rPr>
            </w:pPr>
            <w:r>
              <w:rPr>
                <w:rFonts w:hint="eastAsia" w:ascii="宋体" w:hAnsi="宋体" w:cs="宋体"/>
              </w:rPr>
              <w:t>2</w:t>
            </w:r>
          </w:p>
        </w:tc>
        <w:tc>
          <w:tcPr>
            <w:tcW w:w="875" w:type="pct"/>
            <w:vAlign w:val="center"/>
          </w:tcPr>
          <w:p>
            <w:pPr>
              <w:spacing w:line="360" w:lineRule="auto"/>
              <w:rPr>
                <w:rFonts w:ascii="宋体" w:hAnsi="宋体" w:cs="宋体"/>
                <w:highlight w:val="green"/>
              </w:rPr>
            </w:pPr>
            <w:r>
              <w:rPr>
                <w:rFonts w:hint="eastAsia" w:ascii="宋体" w:hAnsi="宋体" w:eastAsia="宋体" w:cs="宋体"/>
                <w:lang w:eastAsia="zh-CN"/>
              </w:rPr>
              <w:t>工程</w:t>
            </w:r>
            <w:r>
              <w:rPr>
                <w:rFonts w:hint="eastAsia" w:ascii="宋体" w:hAnsi="宋体" w:cs="宋体"/>
              </w:rPr>
              <w:t>时间、地点</w:t>
            </w:r>
          </w:p>
        </w:tc>
        <w:tc>
          <w:tcPr>
            <w:tcW w:w="3839" w:type="pct"/>
            <w:vAlign w:val="center"/>
          </w:tcPr>
          <w:p>
            <w:pPr>
              <w:spacing w:line="360" w:lineRule="auto"/>
              <w:rPr>
                <w:rFonts w:ascii="宋体" w:hAnsi="宋体" w:cs="宋体"/>
                <w:highlight w:val="yellow"/>
                <w:lang w:eastAsia="zh-CN"/>
              </w:rPr>
            </w:pPr>
            <w:r>
              <w:rPr>
                <w:rFonts w:hint="eastAsia" w:ascii="宋体" w:hAnsi="宋体" w:cs="宋体"/>
                <w:highlight w:val="yellow"/>
                <w:lang w:eastAsia="zh-CN"/>
              </w:rPr>
              <w:t>深圳市中医肛肠医院（福田）指定时间、地点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5" w:type="pct"/>
            <w:vAlign w:val="center"/>
          </w:tcPr>
          <w:p>
            <w:pPr>
              <w:spacing w:line="360" w:lineRule="auto"/>
              <w:rPr>
                <w:rFonts w:ascii="宋体" w:hAnsi="宋体" w:cs="宋体"/>
              </w:rPr>
            </w:pPr>
            <w:r>
              <w:rPr>
                <w:rFonts w:hint="eastAsia" w:ascii="宋体" w:hAnsi="宋体" w:cs="宋体"/>
              </w:rPr>
              <w:t>5</w:t>
            </w:r>
          </w:p>
        </w:tc>
        <w:tc>
          <w:tcPr>
            <w:tcW w:w="875" w:type="pct"/>
            <w:vAlign w:val="center"/>
          </w:tcPr>
          <w:p>
            <w:pPr>
              <w:spacing w:line="360" w:lineRule="auto"/>
              <w:rPr>
                <w:rFonts w:ascii="宋体" w:hAnsi="宋体" w:cs="宋体"/>
                <w:bCs/>
              </w:rPr>
            </w:pPr>
            <w:r>
              <w:rPr>
                <w:rFonts w:hint="eastAsia" w:ascii="宋体" w:hAnsi="宋体" w:cs="宋体"/>
                <w:bCs/>
              </w:rPr>
              <w:t>付款方式</w:t>
            </w:r>
          </w:p>
        </w:tc>
        <w:tc>
          <w:tcPr>
            <w:tcW w:w="3839" w:type="pct"/>
            <w:vAlign w:val="center"/>
          </w:tcPr>
          <w:p>
            <w:pPr>
              <w:spacing w:line="360" w:lineRule="auto"/>
              <w:rPr>
                <w:rFonts w:ascii="宋体" w:hAnsi="宋体" w:cs="宋体"/>
                <w:highlight w:val="yellow"/>
                <w:lang w:eastAsia="zh-CN"/>
              </w:rPr>
            </w:pPr>
            <w:r>
              <w:rPr>
                <w:rFonts w:hint="eastAsia" w:asciiTheme="minorEastAsia" w:hAnsiTheme="minorEastAsia" w:eastAsiaTheme="minorEastAsia"/>
                <w:bCs/>
                <w:highlight w:val="yellow"/>
                <w:lang w:eastAsia="zh-CN"/>
              </w:rPr>
              <w:t>在签订合同后5个工作日内支付合同金额的50%；工程安装、调试完毕且验收合格后5个工作日内支付合同金额的50%。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85" w:type="pct"/>
            <w:vAlign w:val="center"/>
          </w:tcPr>
          <w:p>
            <w:pPr>
              <w:spacing w:line="360" w:lineRule="auto"/>
              <w:rPr>
                <w:rFonts w:ascii="宋体" w:hAnsi="宋体" w:cs="宋体"/>
              </w:rPr>
            </w:pPr>
            <w:r>
              <w:rPr>
                <w:rFonts w:hint="eastAsia" w:ascii="宋体" w:hAnsi="宋体" w:cs="宋体"/>
              </w:rPr>
              <w:t>6</w:t>
            </w:r>
          </w:p>
        </w:tc>
        <w:tc>
          <w:tcPr>
            <w:tcW w:w="875" w:type="pct"/>
            <w:vAlign w:val="center"/>
          </w:tcPr>
          <w:p>
            <w:pPr>
              <w:spacing w:line="360" w:lineRule="auto"/>
              <w:rPr>
                <w:rFonts w:ascii="宋体" w:hAnsi="宋体" w:cs="宋体"/>
              </w:rPr>
            </w:pPr>
            <w:r>
              <w:rPr>
                <w:rFonts w:hint="eastAsia" w:ascii="宋体" w:hAnsi="宋体" w:cs="宋体"/>
              </w:rPr>
              <w:t>关于验收</w:t>
            </w:r>
          </w:p>
        </w:tc>
        <w:tc>
          <w:tcPr>
            <w:tcW w:w="3839" w:type="pct"/>
            <w:vAlign w:val="center"/>
          </w:tcPr>
          <w:p>
            <w:pPr>
              <w:spacing w:line="360" w:lineRule="auto"/>
              <w:rPr>
                <w:rFonts w:ascii="宋体" w:hAnsi="宋体" w:cs="宋体"/>
                <w:bCs/>
                <w:highlight w:val="yellow"/>
                <w:lang w:eastAsia="zh-CN"/>
              </w:rPr>
            </w:pPr>
            <w:r>
              <w:rPr>
                <w:rFonts w:hint="eastAsia" w:ascii="宋体" w:hAnsi="宋体" w:cs="宋体"/>
                <w:bCs/>
                <w:highlight w:val="yellow"/>
                <w:lang w:eastAsia="zh-CN"/>
              </w:rPr>
              <w:t>1.工程质量应达到合同约定的质量标准，达不到约定标准的，投标人应承担违约责任。</w:t>
            </w:r>
          </w:p>
          <w:p>
            <w:pPr>
              <w:spacing w:line="360" w:lineRule="auto"/>
              <w:rPr>
                <w:rFonts w:ascii="宋体" w:hAnsi="宋体" w:cs="宋体"/>
                <w:bCs/>
                <w:highlight w:val="yellow"/>
                <w:lang w:eastAsia="zh-CN"/>
              </w:rPr>
            </w:pPr>
            <w:r>
              <w:rPr>
                <w:rFonts w:hint="eastAsia" w:ascii="宋体" w:hAnsi="宋体" w:cs="宋体"/>
                <w:bCs/>
                <w:highlight w:val="yellow"/>
                <w:lang w:eastAsia="zh-CN"/>
              </w:rPr>
              <w:t>2.由于投标人原因造成质量事故的，其返工费用由投标人承担，工期不顺延。</w:t>
            </w:r>
          </w:p>
          <w:p>
            <w:pPr>
              <w:spacing w:line="360" w:lineRule="auto"/>
              <w:rPr>
                <w:rFonts w:ascii="宋体" w:hAnsi="宋体" w:cs="宋体"/>
                <w:bCs/>
                <w:highlight w:val="yellow"/>
                <w:lang w:eastAsia="zh-CN"/>
              </w:rPr>
            </w:pPr>
            <w:r>
              <w:rPr>
                <w:rFonts w:hint="eastAsia" w:ascii="宋体" w:hAnsi="宋体" w:cs="宋体"/>
                <w:bCs/>
                <w:highlight w:val="yellow"/>
                <w:lang w:eastAsia="zh-CN"/>
              </w:rPr>
              <w:t>3.工程竣工后，投标人应当通知采购人进行竣工验收（同时提交竣工图），采购人自接到通知后3日内进行验收。由采购人后勤保障科组织各相关职能科室、使用部门进行竣工验收。</w:t>
            </w:r>
          </w:p>
          <w:p>
            <w:pPr>
              <w:spacing w:line="360" w:lineRule="auto"/>
              <w:rPr>
                <w:rFonts w:ascii="宋体" w:hAnsi="宋体" w:cs="宋体"/>
                <w:bCs/>
                <w:highlight w:val="yellow"/>
                <w:lang w:eastAsia="zh-CN"/>
              </w:rPr>
            </w:pPr>
            <w:r>
              <w:rPr>
                <w:rFonts w:hint="eastAsia" w:ascii="宋体" w:hAnsi="宋体" w:cs="宋体"/>
                <w:bCs/>
                <w:highlight w:val="yellow"/>
                <w:lang w:eastAsia="zh-CN"/>
              </w:rPr>
              <w:t>4.投标人准备完整验收资料，投标人根据施工图纸及现场实际发生工程量计算，依据合同工程结算原则组价编制结算，配合采购人对工程量、施工材料、工程质量进行验收。</w:t>
            </w:r>
          </w:p>
          <w:p>
            <w:pPr>
              <w:spacing w:line="360" w:lineRule="auto"/>
              <w:rPr>
                <w:rFonts w:ascii="宋体" w:hAnsi="宋体" w:cs="宋体"/>
                <w:highlight w:val="yellow"/>
              </w:rPr>
            </w:pPr>
            <w:r>
              <w:rPr>
                <w:rFonts w:hint="eastAsia" w:ascii="宋体" w:hAnsi="宋体" w:cs="宋体"/>
                <w:bCs/>
                <w:highlight w:val="yellow"/>
                <w:lang w:eastAsia="zh-CN"/>
              </w:rPr>
              <w:t>5.竣工验收合格的，由投标人和采购人双方签署《工程质量验收单》。投标人应在竣工验收后5日内向采购人出具《工程保修单》，并向采购人提供其施工部分的水、电等隐蔽工程竣工图。</w:t>
            </w:r>
            <w:r>
              <w:rPr>
                <w:rFonts w:hint="eastAsia" w:ascii="宋体" w:hAnsi="宋体" w:cs="宋体"/>
                <w:bCs/>
                <w:highlight w:val="yellow"/>
              </w:rPr>
              <w:t>保修期自工程竣工验收合格之日起算。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85" w:type="pct"/>
            <w:vAlign w:val="center"/>
          </w:tcPr>
          <w:p>
            <w:pPr>
              <w:spacing w:line="360" w:lineRule="auto"/>
              <w:rPr>
                <w:rFonts w:ascii="宋体" w:hAnsi="宋体" w:cs="宋体"/>
              </w:rPr>
            </w:pPr>
            <w:r>
              <w:rPr>
                <w:rFonts w:hint="eastAsia" w:ascii="宋体" w:hAnsi="宋体" w:cs="宋体"/>
              </w:rPr>
              <w:t>8</w:t>
            </w:r>
          </w:p>
        </w:tc>
        <w:tc>
          <w:tcPr>
            <w:tcW w:w="875" w:type="pct"/>
            <w:vAlign w:val="center"/>
          </w:tcPr>
          <w:p>
            <w:pPr>
              <w:spacing w:line="360" w:lineRule="auto"/>
              <w:rPr>
                <w:rFonts w:ascii="宋体" w:hAnsi="宋体" w:cs="宋体"/>
                <w:bCs/>
              </w:rPr>
            </w:pPr>
            <w:r>
              <w:rPr>
                <w:rFonts w:hint="eastAsia" w:ascii="宋体" w:hAnsi="宋体" w:cs="宋体"/>
                <w:bCs/>
              </w:rPr>
              <w:t>违约责任</w:t>
            </w:r>
          </w:p>
        </w:tc>
        <w:tc>
          <w:tcPr>
            <w:tcW w:w="3839" w:type="pct"/>
            <w:vAlign w:val="center"/>
          </w:tcPr>
          <w:p>
            <w:pPr>
              <w:numPr>
                <w:ilvl w:val="0"/>
                <w:numId w:val="2"/>
              </w:numPr>
              <w:spacing w:line="360" w:lineRule="auto"/>
              <w:rPr>
                <w:rFonts w:ascii="宋体" w:hAnsi="宋体" w:cs="宋体"/>
                <w:bCs/>
                <w:highlight w:val="yellow"/>
                <w:lang w:eastAsia="zh-CN"/>
              </w:rPr>
            </w:pPr>
            <w:r>
              <w:rPr>
                <w:rFonts w:hint="eastAsia" w:ascii="宋体" w:hAnsi="宋体" w:cs="宋体"/>
                <w:bCs/>
                <w:highlight w:val="yellow"/>
                <w:lang w:eastAsia="zh-CN"/>
              </w:rPr>
              <w:t>中标人未按照约定履行保修义务，应赔偿因此给采购人造成的损失，并应向采购人支付合同总价30%的违约金。</w:t>
            </w:r>
          </w:p>
          <w:p>
            <w:pPr>
              <w:numPr>
                <w:ilvl w:val="0"/>
                <w:numId w:val="2"/>
              </w:numPr>
              <w:spacing w:line="360" w:lineRule="auto"/>
              <w:rPr>
                <w:rFonts w:ascii="宋体" w:hAnsi="宋体" w:cs="宋体"/>
                <w:bCs/>
                <w:highlight w:val="yellow"/>
                <w:lang w:eastAsia="zh-CN"/>
              </w:rPr>
            </w:pPr>
            <w:r>
              <w:rPr>
                <w:rFonts w:hint="eastAsia" w:ascii="宋体" w:hAnsi="宋体" w:cs="宋体"/>
                <w:bCs/>
                <w:highlight w:val="yellow"/>
                <w:lang w:eastAsia="zh-CN"/>
              </w:rPr>
              <w:t>中标人延误或怠于履行合同义务的，经采购人催告后在合理期限内仍不履行的，采购人有权自行委托第三方履行中标人延误或怠于履行的合同义务，因委托第三方产生的所有费用由中标人承担。</w:t>
            </w:r>
          </w:p>
          <w:p>
            <w:pPr>
              <w:numPr>
                <w:ilvl w:val="0"/>
                <w:numId w:val="2"/>
              </w:numPr>
              <w:spacing w:line="360" w:lineRule="auto"/>
              <w:rPr>
                <w:rFonts w:ascii="宋体" w:hAnsi="宋体" w:cs="宋体"/>
                <w:bCs/>
                <w:highlight w:val="yellow"/>
                <w:lang w:eastAsia="zh-CN"/>
              </w:rPr>
            </w:pPr>
            <w:r>
              <w:rPr>
                <w:rFonts w:hint="eastAsia" w:ascii="宋体" w:hAnsi="宋体" w:cs="宋体"/>
                <w:bCs/>
                <w:highlight w:val="yellow"/>
                <w:lang w:eastAsia="zh-CN"/>
              </w:rPr>
              <w:t>中标人所交付项目的功能、质量、技术参数等方面不能实质性满足招标文件要求的，采购人有权拒绝验收，中标方向采购人偿付2倍项目服务价格的违约金。</w:t>
            </w:r>
          </w:p>
          <w:p>
            <w:pPr>
              <w:numPr>
                <w:ilvl w:val="0"/>
                <w:numId w:val="2"/>
              </w:numPr>
              <w:spacing w:line="360" w:lineRule="auto"/>
              <w:rPr>
                <w:rFonts w:ascii="宋体" w:hAnsi="宋体" w:cs="宋体"/>
                <w:bCs/>
                <w:highlight w:val="yellow"/>
                <w:lang w:eastAsia="zh-CN"/>
              </w:rPr>
            </w:pPr>
            <w:r>
              <w:rPr>
                <w:rFonts w:hint="eastAsia" w:ascii="宋体" w:hAnsi="宋体" w:cs="宋体"/>
                <w:bCs/>
                <w:highlight w:val="yellow"/>
                <w:lang w:eastAsia="zh-CN"/>
              </w:rPr>
              <w:t>用在本工程项目的任何材料在使用前应得到采购人的批准，样品需在大批订货前送审；获准的样品存放在工地，作为以后验收材料的标准；所有主材和辅材严禁贴牌等侵权行为，一旦查明为贴牌，或产品质量达不到设计图标准，采购人有权取消投标人的中标资格或单方面解除本合同，由此造成的违约责任由投标人承担；样品和其包装，由投标人无偿提供。</w:t>
            </w:r>
          </w:p>
          <w:p>
            <w:pPr>
              <w:numPr>
                <w:ilvl w:val="0"/>
                <w:numId w:val="2"/>
              </w:numPr>
              <w:spacing w:line="360" w:lineRule="auto"/>
              <w:rPr>
                <w:rFonts w:ascii="宋体" w:hAnsi="宋体" w:cs="宋体"/>
                <w:bCs/>
                <w:highlight w:val="yellow"/>
                <w:lang w:eastAsia="zh-CN"/>
              </w:rPr>
            </w:pPr>
            <w:r>
              <w:rPr>
                <w:rFonts w:hint="eastAsia" w:ascii="宋体" w:hAnsi="宋体" w:cs="宋体"/>
                <w:bCs/>
                <w:highlight w:val="yellow"/>
                <w:lang w:eastAsia="zh-CN"/>
              </w:rPr>
              <w:t>所有工程项目由投标人指定专人负责，并按采购文件要求配备项目管理团队；项目负责人施工时间段需驻守现场；未经采购人同意私自更换项目团队成员或施工现场负责人与投标文件不一致的，采购人有权取消投标人的中标资格或单方面终止合同，由此造成的违约责任由投标人承担。</w:t>
            </w:r>
          </w:p>
          <w:p>
            <w:pPr>
              <w:numPr>
                <w:ilvl w:val="0"/>
                <w:numId w:val="2"/>
              </w:numPr>
              <w:spacing w:line="360" w:lineRule="auto"/>
              <w:rPr>
                <w:rFonts w:ascii="宋体" w:hAnsi="宋体" w:cs="宋体"/>
                <w:bCs/>
                <w:highlight w:val="yellow"/>
                <w:lang w:eastAsia="zh-CN"/>
              </w:rPr>
            </w:pPr>
            <w:r>
              <w:rPr>
                <w:rFonts w:hint="eastAsia" w:ascii="宋体" w:hAnsi="宋体" w:cs="宋体"/>
                <w:bCs/>
                <w:highlight w:val="yellow"/>
                <w:lang w:eastAsia="zh-CN"/>
              </w:rPr>
              <w:t>投标人保证投标文件中规定的产品或其中的任何一部分免受第三方提出侵犯其专利权、商标权或其它知识产权的起诉；如发生以上此类纠纷，由投标人承担一切责任。</w:t>
            </w:r>
          </w:p>
          <w:p>
            <w:pPr>
              <w:numPr>
                <w:ilvl w:val="0"/>
                <w:numId w:val="2"/>
              </w:numPr>
              <w:spacing w:line="360" w:lineRule="auto"/>
              <w:rPr>
                <w:rFonts w:ascii="宋体" w:hAnsi="宋体" w:cs="宋体"/>
                <w:bCs/>
                <w:highlight w:val="yellow"/>
                <w:lang w:eastAsia="zh-CN"/>
              </w:rPr>
            </w:pPr>
            <w:r>
              <w:rPr>
                <w:rFonts w:hint="eastAsia" w:ascii="宋体" w:hAnsi="宋体" w:cs="宋体"/>
                <w:bCs/>
                <w:highlight w:val="yellow"/>
                <w:lang w:eastAsia="zh-CN"/>
              </w:rPr>
              <w:t>施工单位在施工中偷工减料的，使用不合格的建筑材料、建筑构配件和设备的，或者有不按照工程设计图纸或者施工组织设计进行施工的其他行为的，采购人有权责令改正，并有权每次从未付款中直接扣除5000元作为违约金；造成建设工程质量不符合规定的质量标准的，负责返工、修理，并赔偿采购人因此造成的损失。</w:t>
            </w:r>
          </w:p>
          <w:p>
            <w:pPr>
              <w:numPr>
                <w:ilvl w:val="0"/>
                <w:numId w:val="2"/>
              </w:numPr>
              <w:spacing w:line="360" w:lineRule="auto"/>
              <w:rPr>
                <w:rFonts w:ascii="宋体" w:hAnsi="宋体" w:cs="宋体"/>
                <w:iCs/>
                <w:highlight w:val="yellow"/>
                <w:lang w:eastAsia="zh-CN"/>
              </w:rPr>
            </w:pPr>
            <w:r>
              <w:rPr>
                <w:rFonts w:hint="eastAsia" w:ascii="宋体" w:hAnsi="宋体" w:cs="宋体"/>
                <w:bCs/>
                <w:iCs/>
                <w:highlight w:val="yellow"/>
                <w:lang w:eastAsia="zh-CN"/>
              </w:rPr>
              <w:t>如投标人未按照合同约定履行义务，包括但不限于提供的工程质量不合格等，经采购人通知后仍未按期纠正违约行为的，采购人有权单方解除本合同，不予支付相应费用，并有权要求采购人赔偿由此造成的一切损失（包括但不限于直接损失、诉讼费/仲裁费、律师费等）。</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9D4ED8"/>
    <w:multiLevelType w:val="singleLevel"/>
    <w:tmpl w:val="F49D4ED8"/>
    <w:lvl w:ilvl="0" w:tentative="0">
      <w:start w:val="1"/>
      <w:numFmt w:val="decimal"/>
      <w:lvlText w:val="(%1)"/>
      <w:lvlJc w:val="left"/>
      <w:pPr>
        <w:ind w:left="425" w:hanging="425"/>
      </w:pPr>
      <w:rPr>
        <w:rFonts w:hint="default"/>
      </w:rPr>
    </w:lvl>
  </w:abstractNum>
  <w:abstractNum w:abstractNumId="1">
    <w:nsid w:val="08DDBBF9"/>
    <w:multiLevelType w:val="singleLevel"/>
    <w:tmpl w:val="08DDBBF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69511780"/>
    <w:rsid w:val="555312B0"/>
    <w:rsid w:val="5A080320"/>
    <w:rsid w:val="5B2103CA"/>
    <w:rsid w:val="6951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正文正"/>
    <w:basedOn w:val="1"/>
    <w:qFormat/>
    <w:uiPriority w:val="0"/>
    <w:pPr>
      <w:spacing w:line="560" w:lineRule="exact"/>
      <w:ind w:firstLine="561"/>
    </w:pPr>
    <w:rPr>
      <w:rFonts w:ascii="Calibri" w:hAnsi="Calibri"/>
      <w:sz w:val="28"/>
      <w:szCs w:val="28"/>
    </w:rPr>
  </w:style>
  <w:style w:type="paragraph" w:styleId="3">
    <w:name w:val="Body Text"/>
    <w:basedOn w:val="1"/>
    <w:autoRedefine/>
    <w:qFormat/>
    <w:uiPriority w:val="0"/>
    <w:pPr>
      <w:spacing w:after="120" w:afterLines="0" w:afterAutospacing="0"/>
    </w:pPr>
  </w:style>
  <w:style w:type="paragraph" w:customStyle="1" w:styleId="6">
    <w:name w:val="图"/>
    <w:basedOn w:val="1"/>
    <w:autoRedefine/>
    <w:qFormat/>
    <w:uiPriority w:val="0"/>
    <w:pPr>
      <w:keepNext/>
      <w:spacing w:before="60" w:after="60" w:line="300" w:lineRule="auto"/>
      <w:jc w:val="center"/>
      <w:textAlignment w:val="center"/>
    </w:pPr>
    <w:rPr>
      <w:spacing w:val="20"/>
      <w:sz w:val="24"/>
      <w:szCs w:val="20"/>
    </w:rPr>
  </w:style>
  <w:style w:type="character" w:customStyle="1" w:styleId="7">
    <w:name w:val="font101"/>
    <w:basedOn w:val="5"/>
    <w:autoRedefine/>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2024-01-12T02:59:00Z</dcterms:created>
  <dc:creator>scott</dc:creator>
  <cp:lastModifiedBy>scott</cp:lastModifiedBy>
  <dcterms:modified xsi:type="dcterms:W3CDTF">2024-01-12T03:07:12Z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BFAB24F8C3D14BD0BECB5985BA92D36C_11</vt:lpwstr>
  </property>
</Properties>
</file>