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36"/>
          <w:szCs w:val="36"/>
        </w:rPr>
      </w:pPr>
      <w:bookmarkStart w:id="0" w:name="_Toc25454"/>
      <w:r>
        <w:rPr>
          <w:rFonts w:hint="eastAsia" w:ascii="方正小标宋简体" w:hAnsi="方正小标宋简体" w:eastAsia="方正小标宋简体" w:cs="方正小标宋简体"/>
          <w:sz w:val="36"/>
          <w:szCs w:val="36"/>
          <w:lang w:val="en-US" w:eastAsia="zh-CN"/>
        </w:rPr>
        <w:t>深圳市中医肛肠医院（福田）新院区</w:t>
      </w:r>
      <w:r>
        <w:rPr>
          <w:rFonts w:hint="eastAsia" w:ascii="方正小标宋简体" w:hAnsi="方正小标宋简体" w:eastAsia="方正小标宋简体" w:cs="方正小标宋简体"/>
          <w:sz w:val="36"/>
          <w:szCs w:val="36"/>
        </w:rPr>
        <w:t>新能源汽车</w:t>
      </w:r>
    </w:p>
    <w:p>
      <w:pPr>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充电桩</w:t>
      </w:r>
      <w:r>
        <w:rPr>
          <w:rFonts w:hint="eastAsia" w:ascii="方正小标宋简体" w:hAnsi="方正小标宋简体" w:eastAsia="方正小标宋简体" w:cs="方正小标宋简体"/>
          <w:sz w:val="36"/>
          <w:szCs w:val="36"/>
          <w:lang w:val="en-US" w:eastAsia="zh-CN"/>
        </w:rPr>
        <w:t>项目</w:t>
      </w:r>
      <w:r>
        <w:rPr>
          <w:rFonts w:hint="eastAsia" w:ascii="方正小标宋简体" w:hAnsi="方正小标宋简体" w:eastAsia="方正小标宋简体" w:cs="方正小标宋简体"/>
          <w:sz w:val="36"/>
          <w:szCs w:val="36"/>
        </w:rPr>
        <w:t>需求书</w:t>
      </w:r>
      <w:bookmarkEnd w:id="0"/>
    </w:p>
    <w:p>
      <w:pPr>
        <w:pStyle w:val="7"/>
        <w:keepNext w:val="0"/>
        <w:keepLines w:val="0"/>
        <w:pageBreakBefore w:val="0"/>
        <w:widowControl/>
        <w:numPr>
          <w:ilvl w:val="0"/>
          <w:numId w:val="0"/>
        </w:numPr>
        <w:kinsoku/>
        <w:wordWrap/>
        <w:overflowPunct/>
        <w:topLinePunct w:val="0"/>
        <w:autoSpaceDE w:val="0"/>
        <w:autoSpaceDN w:val="0"/>
        <w:bidi w:val="0"/>
        <w:adjustRightInd w:val="0"/>
        <w:snapToGrid/>
        <w:spacing w:line="560" w:lineRule="exact"/>
        <w:ind w:leftChars="0" w:firstLine="640" w:firstLineChars="200"/>
        <w:textAlignment w:val="auto"/>
        <w:rPr>
          <w:rFonts w:hint="eastAsia" w:ascii="黑体" w:hAnsi="黑体" w:eastAsia="黑体" w:cs="黑体"/>
          <w:iCs/>
          <w:sz w:val="32"/>
          <w:szCs w:val="32"/>
          <w:lang w:val="en-US" w:eastAsia="zh-CN"/>
        </w:rPr>
      </w:pPr>
      <w:bookmarkStart w:id="1" w:name="_Toc399949734"/>
      <w:bookmarkStart w:id="2" w:name="_Toc452437822"/>
    </w:p>
    <w:p>
      <w:pPr>
        <w:pStyle w:val="7"/>
        <w:keepNext w:val="0"/>
        <w:keepLines w:val="0"/>
        <w:pageBreakBefore w:val="0"/>
        <w:widowControl/>
        <w:numPr>
          <w:ilvl w:val="0"/>
          <w:numId w:val="0"/>
        </w:numPr>
        <w:kinsoku/>
        <w:wordWrap/>
        <w:overflowPunct/>
        <w:topLinePunct w:val="0"/>
        <w:autoSpaceDE w:val="0"/>
        <w:autoSpaceDN w:val="0"/>
        <w:bidi w:val="0"/>
        <w:adjustRightInd w:val="0"/>
        <w:snapToGrid/>
        <w:spacing w:line="560" w:lineRule="exact"/>
        <w:ind w:leftChars="0" w:firstLine="640" w:firstLineChars="200"/>
        <w:textAlignment w:val="auto"/>
        <w:rPr>
          <w:rFonts w:hint="eastAsia" w:ascii="黑体" w:hAnsi="黑体" w:eastAsia="黑体" w:cs="黑体"/>
          <w:iCs/>
          <w:sz w:val="32"/>
          <w:szCs w:val="32"/>
          <w:lang w:val="zh-CN"/>
        </w:rPr>
      </w:pPr>
      <w:r>
        <w:rPr>
          <w:rFonts w:hint="eastAsia" w:ascii="黑体" w:hAnsi="黑体" w:eastAsia="黑体" w:cs="黑体"/>
          <w:iCs/>
          <w:sz w:val="32"/>
          <w:szCs w:val="32"/>
          <w:lang w:val="en-US" w:eastAsia="zh-CN"/>
        </w:rPr>
        <w:t>一、</w:t>
      </w:r>
      <w:r>
        <w:rPr>
          <w:rFonts w:hint="eastAsia" w:ascii="黑体" w:hAnsi="黑体" w:eastAsia="黑体" w:cs="黑体"/>
          <w:iCs/>
          <w:sz w:val="32"/>
          <w:szCs w:val="32"/>
          <w:lang w:val="zh-CN"/>
        </w:rPr>
        <w:t>项目概述</w:t>
      </w:r>
    </w:p>
    <w:bookmarkEnd w:id="1"/>
    <w:bookmarkEnd w:id="2"/>
    <w:p>
      <w:pPr>
        <w:keepNext w:val="0"/>
        <w:keepLines w:val="0"/>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bCs/>
          <w:sz w:val="32"/>
          <w:szCs w:val="32"/>
          <w:lang w:bidi="ar"/>
        </w:rPr>
      </w:pPr>
      <w:r>
        <w:rPr>
          <w:rFonts w:hint="eastAsia" w:ascii="仿宋_GB2312" w:hAnsi="仿宋_GB2312" w:eastAsia="仿宋_GB2312" w:cs="仿宋_GB2312"/>
          <w:bCs/>
          <w:sz w:val="32"/>
          <w:szCs w:val="32"/>
          <w:lang w:bidi="ar"/>
        </w:rPr>
        <w:t>负责</w:t>
      </w:r>
      <w:r>
        <w:rPr>
          <w:rFonts w:hint="eastAsia" w:ascii="仿宋_GB2312" w:hAnsi="仿宋_GB2312" w:eastAsia="仿宋_GB2312" w:cs="仿宋_GB2312"/>
          <w:bCs/>
          <w:sz w:val="32"/>
          <w:szCs w:val="32"/>
          <w:lang w:eastAsia="zh-CN" w:bidi="ar"/>
        </w:rPr>
        <w:t>深圳市中医肛肠医院（福田）</w:t>
      </w:r>
      <w:r>
        <w:rPr>
          <w:rFonts w:hint="eastAsia" w:ascii="仿宋_GB2312" w:hAnsi="仿宋_GB2312" w:eastAsia="仿宋_GB2312" w:cs="仿宋_GB2312"/>
          <w:bCs/>
          <w:sz w:val="32"/>
          <w:szCs w:val="32"/>
          <w:lang w:val="en-US" w:eastAsia="zh-CN" w:bidi="ar"/>
        </w:rPr>
        <w:t>新院区</w:t>
      </w:r>
      <w:r>
        <w:rPr>
          <w:rFonts w:hint="eastAsia" w:ascii="仿宋_GB2312" w:hAnsi="仿宋_GB2312" w:eastAsia="仿宋_GB2312" w:cs="仿宋_GB2312"/>
          <w:bCs/>
          <w:sz w:val="32"/>
          <w:szCs w:val="32"/>
          <w:lang w:bidi="ar"/>
        </w:rPr>
        <w:t>新能源汽车充电桩及日常管理与维护服务</w:t>
      </w:r>
      <w:r>
        <w:rPr>
          <w:rFonts w:hint="eastAsia" w:ascii="仿宋_GB2312" w:hAnsi="仿宋_GB2312" w:eastAsia="仿宋_GB2312" w:cs="仿宋_GB2312"/>
          <w:bCs/>
          <w:sz w:val="32"/>
          <w:szCs w:val="32"/>
          <w:lang w:eastAsia="zh-CN" w:bidi="ar"/>
        </w:rPr>
        <w:t>；</w:t>
      </w:r>
      <w:r>
        <w:rPr>
          <w:rFonts w:hint="eastAsia" w:ascii="仿宋_GB2312" w:hAnsi="仿宋_GB2312" w:eastAsia="仿宋_GB2312" w:cs="仿宋_GB2312"/>
          <w:bCs/>
          <w:sz w:val="32"/>
          <w:szCs w:val="32"/>
          <w:lang w:bidi="ar"/>
        </w:rPr>
        <w:t>建设地点</w:t>
      </w:r>
      <w:r>
        <w:rPr>
          <w:rFonts w:hint="eastAsia" w:ascii="仿宋_GB2312" w:hAnsi="仿宋_GB2312" w:eastAsia="仿宋_GB2312" w:cs="仿宋_GB2312"/>
          <w:bCs/>
          <w:sz w:val="32"/>
          <w:szCs w:val="32"/>
          <w:lang w:val="en-US" w:eastAsia="zh-CN" w:bidi="ar"/>
        </w:rPr>
        <w:t>位于</w:t>
      </w:r>
      <w:r>
        <w:rPr>
          <w:rFonts w:hint="eastAsia" w:ascii="仿宋_GB2312" w:hAnsi="仿宋_GB2312" w:eastAsia="仿宋_GB2312" w:cs="仿宋_GB2312"/>
          <w:bCs/>
          <w:sz w:val="32"/>
          <w:szCs w:val="32"/>
          <w:lang w:bidi="ar"/>
        </w:rPr>
        <w:t>：</w:t>
      </w:r>
      <w:r>
        <w:rPr>
          <w:rFonts w:hint="eastAsia" w:ascii="仿宋_GB2312" w:hAnsi="仿宋_GB2312" w:eastAsia="仿宋_GB2312" w:cs="仿宋_GB2312"/>
          <w:bCs/>
          <w:sz w:val="32"/>
          <w:szCs w:val="32"/>
          <w:lang w:val="en-US" w:eastAsia="zh-CN" w:bidi="ar"/>
        </w:rPr>
        <w:t>福田区梅林街道梅坳二路1号深圳市中医肛肠医院（福田）</w:t>
      </w:r>
      <w:r>
        <w:rPr>
          <w:rFonts w:hint="eastAsia" w:ascii="仿宋_GB2312" w:hAnsi="仿宋_GB2312" w:eastAsia="仿宋_GB2312" w:cs="仿宋_GB2312"/>
          <w:bCs/>
          <w:sz w:val="32"/>
          <w:szCs w:val="32"/>
          <w:lang w:bidi="ar"/>
        </w:rPr>
        <w:t>地下</w:t>
      </w:r>
      <w:r>
        <w:rPr>
          <w:rFonts w:hint="eastAsia" w:ascii="仿宋_GB2312" w:hAnsi="仿宋_GB2312" w:eastAsia="仿宋_GB2312" w:cs="仿宋_GB2312"/>
          <w:bCs/>
          <w:sz w:val="32"/>
          <w:szCs w:val="32"/>
          <w:lang w:val="en-US" w:eastAsia="zh-CN" w:bidi="ar"/>
        </w:rPr>
        <w:t>2-3层</w:t>
      </w:r>
      <w:r>
        <w:rPr>
          <w:rFonts w:hint="eastAsia" w:ascii="仿宋_GB2312" w:hAnsi="仿宋_GB2312" w:eastAsia="仿宋_GB2312" w:cs="仿宋_GB2312"/>
          <w:bCs/>
          <w:sz w:val="32"/>
          <w:szCs w:val="32"/>
          <w:lang w:bidi="ar"/>
        </w:rPr>
        <w:t>。</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rPr>
          <w:rFonts w:hint="eastAsia" w:ascii="黑体" w:hAnsi="黑体" w:eastAsia="黑体" w:cs="黑体"/>
          <w:iCs/>
          <w:kern w:val="2"/>
          <w:sz w:val="32"/>
          <w:szCs w:val="32"/>
          <w:lang w:val="zh-CN" w:eastAsia="zh-CN" w:bidi="ar-SA"/>
        </w:rPr>
      </w:pPr>
      <w:r>
        <w:rPr>
          <w:rFonts w:hint="eastAsia" w:ascii="黑体" w:hAnsi="黑体" w:eastAsia="黑体" w:cs="黑体"/>
          <w:iCs/>
          <w:kern w:val="2"/>
          <w:sz w:val="32"/>
          <w:szCs w:val="32"/>
          <w:lang w:val="zh-CN" w:eastAsia="zh-CN" w:bidi="ar-SA"/>
        </w:rPr>
        <w:t>二、项目建设内容</w:t>
      </w:r>
    </w:p>
    <w:p>
      <w:pPr>
        <w:keepNext w:val="0"/>
        <w:keepLines w:val="0"/>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bCs/>
          <w:sz w:val="32"/>
          <w:szCs w:val="32"/>
          <w:lang w:val="zh-CN" w:bidi="ar"/>
        </w:rPr>
      </w:pPr>
      <w:r>
        <w:rPr>
          <w:rFonts w:hint="eastAsia" w:ascii="仿宋_GB2312" w:hAnsi="仿宋_GB2312" w:eastAsia="仿宋_GB2312" w:cs="仿宋_GB2312"/>
          <w:bCs/>
          <w:sz w:val="32"/>
          <w:szCs w:val="32"/>
          <w:lang w:val="zh-CN" w:bidi="ar"/>
        </w:rPr>
        <w:t>（一）建设内容</w:t>
      </w:r>
    </w:p>
    <w:p>
      <w:pPr>
        <w:keepNext w:val="0"/>
        <w:keepLines w:val="0"/>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bidi="ar"/>
        </w:rPr>
        <w:t>1.投标人应提供所投设备生产厂商原装的、全新的、技术先进、性能优良、结构紧凑、便于安装和维护、符合国家及用户提出的有关质量标准的设备。</w:t>
      </w:r>
    </w:p>
    <w:p>
      <w:pPr>
        <w:keepNext w:val="0"/>
        <w:keepLines w:val="0"/>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bidi="ar"/>
        </w:rPr>
        <w:t>2.设备正确安装后，能确保在正常的使用过程中安全、可靠，并达到有关规定的要求。</w:t>
      </w:r>
    </w:p>
    <w:p>
      <w:pPr>
        <w:keepNext w:val="0"/>
        <w:keepLines w:val="0"/>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bidi="ar"/>
        </w:rPr>
        <w:t>3.设备应符合中国政府颁布的产品、质量、技术、安全标准及环保标准。</w:t>
      </w:r>
    </w:p>
    <w:p>
      <w:pPr>
        <w:keepNext w:val="0"/>
        <w:keepLines w:val="0"/>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bidi="ar"/>
        </w:rPr>
        <w:t>4.软件要求：所有配套软件为正版软件并提供证明文件。</w:t>
      </w:r>
    </w:p>
    <w:p>
      <w:pPr>
        <w:keepNext w:val="0"/>
        <w:keepLines w:val="0"/>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bCs/>
          <w:sz w:val="32"/>
          <w:szCs w:val="32"/>
          <w:lang w:val="zh-CN" w:bidi="ar"/>
        </w:rPr>
      </w:pPr>
      <w:r>
        <w:rPr>
          <w:rFonts w:hint="eastAsia" w:ascii="仿宋_GB2312" w:hAnsi="仿宋_GB2312" w:eastAsia="仿宋_GB2312" w:cs="仿宋_GB2312"/>
          <w:bCs/>
          <w:sz w:val="32"/>
          <w:szCs w:val="32"/>
          <w:lang w:val="zh-CN" w:bidi="ar"/>
        </w:rPr>
        <w:t>（二）新能源汽车充电桩采购清单</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3"/>
        <w:gridCol w:w="3489"/>
        <w:gridCol w:w="20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2503" w:type="dxa"/>
            <w:shd w:val="clear" w:color="auto" w:fill="auto"/>
            <w:vAlign w:val="center"/>
          </w:tcPr>
          <w:p>
            <w:pPr>
              <w:keepNext w:val="0"/>
              <w:keepLines w:val="0"/>
              <w:pageBreakBefore w:val="0"/>
              <w:kinsoku/>
              <w:wordWrap/>
              <w:overflowPunct/>
              <w:topLinePunct w:val="0"/>
              <w:bidi w:val="0"/>
              <w:snapToGrid/>
              <w:spacing w:line="560" w:lineRule="exact"/>
              <w:jc w:val="center"/>
              <w:textAlignment w:val="auto"/>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lang w:bidi="ar"/>
              </w:rPr>
              <w:t>区  域</w:t>
            </w:r>
          </w:p>
        </w:tc>
        <w:tc>
          <w:tcPr>
            <w:tcW w:w="3489" w:type="dxa"/>
            <w:shd w:val="clear" w:color="auto" w:fill="auto"/>
            <w:vAlign w:val="center"/>
          </w:tcPr>
          <w:p>
            <w:pPr>
              <w:keepNext w:val="0"/>
              <w:keepLines w:val="0"/>
              <w:pageBreakBefore w:val="0"/>
              <w:kinsoku/>
              <w:wordWrap/>
              <w:overflowPunct/>
              <w:topLinePunct w:val="0"/>
              <w:bidi w:val="0"/>
              <w:snapToGrid/>
              <w:spacing w:line="560" w:lineRule="exact"/>
              <w:jc w:val="center"/>
              <w:textAlignment w:val="auto"/>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lang w:bidi="ar"/>
              </w:rPr>
              <w:t>充电桩安装位置</w:t>
            </w:r>
          </w:p>
        </w:tc>
        <w:tc>
          <w:tcPr>
            <w:tcW w:w="2069" w:type="dxa"/>
            <w:shd w:val="clear" w:color="auto" w:fill="auto"/>
          </w:tcPr>
          <w:p>
            <w:pPr>
              <w:keepNext w:val="0"/>
              <w:keepLines w:val="0"/>
              <w:pageBreakBefore w:val="0"/>
              <w:kinsoku/>
              <w:wordWrap/>
              <w:overflowPunct/>
              <w:topLinePunct w:val="0"/>
              <w:bidi w:val="0"/>
              <w:snapToGrid/>
              <w:spacing w:line="560" w:lineRule="exact"/>
              <w:jc w:val="center"/>
              <w:textAlignment w:val="auto"/>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lang w:bidi="ar"/>
              </w:rPr>
              <w:t>建设数量约（个）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03" w:type="dxa"/>
            <w:vMerge w:val="restart"/>
            <w:shd w:val="clear" w:color="auto" w:fill="auto"/>
            <w:vAlign w:val="center"/>
          </w:tcPr>
          <w:p>
            <w:pPr>
              <w:keepNext w:val="0"/>
              <w:keepLines w:val="0"/>
              <w:pageBreakBefore w:val="0"/>
              <w:kinsoku/>
              <w:wordWrap/>
              <w:overflowPunct/>
              <w:topLinePunct w:val="0"/>
              <w:bidi w:val="0"/>
              <w:snapToGrid/>
              <w:spacing w:line="560" w:lineRule="exact"/>
              <w:jc w:val="center"/>
              <w:textAlignment w:val="auto"/>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lang w:val="en-US" w:eastAsia="zh-CN" w:bidi="ar"/>
              </w:rPr>
              <w:t>梅林新院</w:t>
            </w:r>
            <w:r>
              <w:rPr>
                <w:rFonts w:hint="eastAsia" w:ascii="仿宋_GB2312" w:hAnsi="仿宋_GB2312" w:eastAsia="仿宋_GB2312" w:cs="仿宋_GB2312"/>
                <w:bCs/>
                <w:sz w:val="24"/>
                <w:szCs w:val="24"/>
                <w:lang w:bidi="ar"/>
              </w:rPr>
              <w:t>区</w:t>
            </w:r>
          </w:p>
        </w:tc>
        <w:tc>
          <w:tcPr>
            <w:tcW w:w="3489" w:type="dxa"/>
            <w:shd w:val="clear" w:color="auto" w:fill="auto"/>
            <w:vAlign w:val="center"/>
          </w:tcPr>
          <w:p>
            <w:pPr>
              <w:keepNext w:val="0"/>
              <w:keepLines w:val="0"/>
              <w:pageBreakBefore w:val="0"/>
              <w:kinsoku/>
              <w:wordWrap/>
              <w:overflowPunct/>
              <w:topLinePunct w:val="0"/>
              <w:bidi w:val="0"/>
              <w:snapToGrid/>
              <w:spacing w:line="560" w:lineRule="exact"/>
              <w:jc w:val="center"/>
              <w:textAlignment w:val="auto"/>
              <w:rPr>
                <w:rFonts w:hint="eastAsia" w:ascii="仿宋_GB2312" w:hAnsi="仿宋_GB2312" w:eastAsia="仿宋_GB2312" w:cs="仿宋_GB2312"/>
                <w:bCs/>
                <w:sz w:val="24"/>
                <w:szCs w:val="24"/>
                <w:lang w:val="en-US" w:eastAsia="zh-CN"/>
              </w:rPr>
            </w:pPr>
            <w:r>
              <w:rPr>
                <w:rFonts w:hint="eastAsia" w:ascii="仿宋_GB2312" w:hAnsi="仿宋_GB2312" w:eastAsia="仿宋_GB2312" w:cs="仿宋_GB2312"/>
                <w:bCs/>
                <w:sz w:val="24"/>
                <w:szCs w:val="24"/>
                <w:lang w:bidi="ar"/>
              </w:rPr>
              <w:t>地下停车场</w:t>
            </w:r>
            <w:r>
              <w:rPr>
                <w:rFonts w:hint="eastAsia" w:ascii="仿宋_GB2312" w:hAnsi="仿宋_GB2312" w:eastAsia="仿宋_GB2312" w:cs="仿宋_GB2312"/>
                <w:bCs/>
                <w:sz w:val="24"/>
                <w:szCs w:val="24"/>
                <w:lang w:val="en-US" w:eastAsia="zh-CN" w:bidi="ar"/>
              </w:rPr>
              <w:t>2层</w:t>
            </w:r>
          </w:p>
        </w:tc>
        <w:tc>
          <w:tcPr>
            <w:tcW w:w="2069" w:type="dxa"/>
            <w:shd w:val="clear" w:color="auto" w:fill="auto"/>
            <w:vAlign w:val="center"/>
          </w:tcPr>
          <w:p>
            <w:pPr>
              <w:keepNext w:val="0"/>
              <w:keepLines w:val="0"/>
              <w:pageBreakBefore w:val="0"/>
              <w:kinsoku/>
              <w:wordWrap/>
              <w:overflowPunct/>
              <w:topLinePunct w:val="0"/>
              <w:bidi w:val="0"/>
              <w:snapToGrid/>
              <w:spacing w:line="560" w:lineRule="exact"/>
              <w:jc w:val="center"/>
              <w:textAlignment w:val="auto"/>
              <w:rPr>
                <w:rFonts w:hint="eastAsia" w:ascii="仿宋_GB2312" w:hAnsi="仿宋_GB2312" w:eastAsia="仿宋_GB2312" w:cs="仿宋_GB2312"/>
                <w:bCs/>
                <w:sz w:val="24"/>
                <w:szCs w:val="24"/>
                <w:lang w:val="en-US" w:eastAsia="zh-CN"/>
              </w:rPr>
            </w:pPr>
            <w:r>
              <w:rPr>
                <w:rFonts w:hint="eastAsia" w:ascii="仿宋_GB2312" w:hAnsi="仿宋_GB2312" w:eastAsia="仿宋_GB2312" w:cs="仿宋_GB2312"/>
                <w:bCs/>
                <w:sz w:val="24"/>
                <w:szCs w:val="24"/>
                <w:lang w:val="en-US" w:eastAsia="zh-CN" w:bidi="ar"/>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03" w:type="dxa"/>
            <w:vMerge w:val="continue"/>
            <w:shd w:val="clear" w:color="auto" w:fill="auto"/>
            <w:vAlign w:val="center"/>
          </w:tcPr>
          <w:p>
            <w:pPr>
              <w:keepNext w:val="0"/>
              <w:keepLines w:val="0"/>
              <w:pageBreakBefore w:val="0"/>
              <w:kinsoku/>
              <w:wordWrap/>
              <w:overflowPunct/>
              <w:topLinePunct w:val="0"/>
              <w:bidi w:val="0"/>
              <w:snapToGrid/>
              <w:spacing w:line="560" w:lineRule="exact"/>
              <w:jc w:val="center"/>
              <w:textAlignment w:val="auto"/>
              <w:rPr>
                <w:rFonts w:hint="eastAsia" w:ascii="仿宋_GB2312" w:hAnsi="仿宋_GB2312" w:eastAsia="仿宋_GB2312" w:cs="仿宋_GB2312"/>
                <w:bCs/>
                <w:sz w:val="24"/>
                <w:szCs w:val="24"/>
                <w:lang w:bidi="ar"/>
              </w:rPr>
            </w:pPr>
          </w:p>
        </w:tc>
        <w:tc>
          <w:tcPr>
            <w:tcW w:w="3489" w:type="dxa"/>
            <w:shd w:val="clear" w:color="auto" w:fill="auto"/>
            <w:vAlign w:val="center"/>
          </w:tcPr>
          <w:p>
            <w:pPr>
              <w:keepNext w:val="0"/>
              <w:keepLines w:val="0"/>
              <w:pageBreakBefore w:val="0"/>
              <w:kinsoku/>
              <w:wordWrap/>
              <w:overflowPunct/>
              <w:topLinePunct w:val="0"/>
              <w:bidi w:val="0"/>
              <w:snapToGrid/>
              <w:spacing w:line="560" w:lineRule="exact"/>
              <w:jc w:val="center"/>
              <w:textAlignment w:val="auto"/>
              <w:rPr>
                <w:rFonts w:hint="eastAsia" w:ascii="仿宋_GB2312" w:hAnsi="仿宋_GB2312" w:eastAsia="仿宋_GB2312" w:cs="仿宋_GB2312"/>
                <w:bCs/>
                <w:sz w:val="24"/>
                <w:szCs w:val="24"/>
                <w:lang w:bidi="ar"/>
              </w:rPr>
            </w:pPr>
            <w:r>
              <w:rPr>
                <w:rFonts w:hint="eastAsia" w:ascii="仿宋_GB2312" w:hAnsi="仿宋_GB2312" w:eastAsia="仿宋_GB2312" w:cs="仿宋_GB2312"/>
                <w:bCs/>
                <w:sz w:val="24"/>
                <w:szCs w:val="24"/>
                <w:lang w:bidi="ar"/>
              </w:rPr>
              <w:t>地下停车场</w:t>
            </w:r>
            <w:r>
              <w:rPr>
                <w:rFonts w:hint="eastAsia" w:ascii="仿宋_GB2312" w:hAnsi="仿宋_GB2312" w:eastAsia="仿宋_GB2312" w:cs="仿宋_GB2312"/>
                <w:bCs/>
                <w:sz w:val="24"/>
                <w:szCs w:val="24"/>
                <w:lang w:val="en-US" w:eastAsia="zh-CN" w:bidi="ar"/>
              </w:rPr>
              <w:t>3层</w:t>
            </w:r>
          </w:p>
        </w:tc>
        <w:tc>
          <w:tcPr>
            <w:tcW w:w="2069" w:type="dxa"/>
            <w:shd w:val="clear" w:color="auto" w:fill="auto"/>
            <w:vAlign w:val="center"/>
          </w:tcPr>
          <w:p>
            <w:pPr>
              <w:keepNext w:val="0"/>
              <w:keepLines w:val="0"/>
              <w:pageBreakBefore w:val="0"/>
              <w:kinsoku/>
              <w:wordWrap/>
              <w:overflowPunct/>
              <w:topLinePunct w:val="0"/>
              <w:bidi w:val="0"/>
              <w:snapToGrid/>
              <w:spacing w:line="560" w:lineRule="exact"/>
              <w:jc w:val="center"/>
              <w:textAlignment w:val="auto"/>
              <w:rPr>
                <w:rFonts w:hint="eastAsia" w:ascii="仿宋_GB2312" w:hAnsi="仿宋_GB2312" w:eastAsia="仿宋_GB2312" w:cs="仿宋_GB2312"/>
                <w:bCs/>
                <w:sz w:val="24"/>
                <w:szCs w:val="24"/>
                <w:lang w:val="en-US" w:eastAsia="zh-CN" w:bidi="ar"/>
              </w:rPr>
            </w:pPr>
            <w:r>
              <w:rPr>
                <w:rFonts w:hint="eastAsia" w:ascii="仿宋_GB2312" w:hAnsi="仿宋_GB2312" w:eastAsia="仿宋_GB2312" w:cs="仿宋_GB2312"/>
                <w:bCs/>
                <w:sz w:val="24"/>
                <w:szCs w:val="24"/>
                <w:lang w:val="en-US" w:eastAsia="zh-CN" w:bidi="ar"/>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92" w:type="dxa"/>
            <w:gridSpan w:val="2"/>
            <w:shd w:val="clear" w:color="auto" w:fill="auto"/>
            <w:vAlign w:val="center"/>
          </w:tcPr>
          <w:p>
            <w:pPr>
              <w:keepNext w:val="0"/>
              <w:keepLines w:val="0"/>
              <w:pageBreakBefore w:val="0"/>
              <w:kinsoku/>
              <w:wordWrap/>
              <w:overflowPunct/>
              <w:topLinePunct w:val="0"/>
              <w:bidi w:val="0"/>
              <w:snapToGrid/>
              <w:spacing w:line="560" w:lineRule="exact"/>
              <w:jc w:val="center"/>
              <w:textAlignment w:val="auto"/>
              <w:rPr>
                <w:rFonts w:hint="eastAsia" w:ascii="仿宋_GB2312" w:hAnsi="仿宋_GB2312" w:eastAsia="仿宋_GB2312" w:cs="仿宋_GB2312"/>
                <w:bCs/>
                <w:sz w:val="24"/>
                <w:szCs w:val="24"/>
                <w:lang w:val="en-US" w:eastAsia="zh-CN" w:bidi="ar"/>
              </w:rPr>
            </w:pPr>
            <w:r>
              <w:rPr>
                <w:rFonts w:hint="eastAsia" w:ascii="仿宋_GB2312" w:hAnsi="仿宋_GB2312" w:eastAsia="仿宋_GB2312" w:cs="仿宋_GB2312"/>
                <w:bCs/>
                <w:sz w:val="24"/>
                <w:szCs w:val="24"/>
                <w:lang w:val="en-US" w:eastAsia="zh-CN" w:bidi="ar"/>
              </w:rPr>
              <w:t>合计</w:t>
            </w:r>
          </w:p>
        </w:tc>
        <w:tc>
          <w:tcPr>
            <w:tcW w:w="2069" w:type="dxa"/>
            <w:shd w:val="clear" w:color="auto" w:fill="auto"/>
            <w:vAlign w:val="center"/>
          </w:tcPr>
          <w:p>
            <w:pPr>
              <w:keepNext w:val="0"/>
              <w:keepLines w:val="0"/>
              <w:pageBreakBefore w:val="0"/>
              <w:kinsoku/>
              <w:wordWrap/>
              <w:overflowPunct/>
              <w:topLinePunct w:val="0"/>
              <w:bidi w:val="0"/>
              <w:snapToGrid/>
              <w:spacing w:line="560" w:lineRule="exact"/>
              <w:jc w:val="center"/>
              <w:textAlignment w:val="auto"/>
              <w:rPr>
                <w:rFonts w:hint="default" w:ascii="仿宋_GB2312" w:hAnsi="仿宋_GB2312" w:eastAsia="仿宋_GB2312" w:cs="仿宋_GB2312"/>
                <w:bCs/>
                <w:sz w:val="24"/>
                <w:szCs w:val="24"/>
                <w:lang w:val="en-US" w:eastAsia="zh-CN" w:bidi="ar"/>
              </w:rPr>
            </w:pPr>
            <w:r>
              <w:rPr>
                <w:rFonts w:hint="eastAsia" w:ascii="仿宋_GB2312" w:hAnsi="仿宋_GB2312" w:eastAsia="仿宋_GB2312" w:cs="仿宋_GB2312"/>
                <w:bCs/>
                <w:sz w:val="24"/>
                <w:szCs w:val="24"/>
                <w:lang w:val="en-US" w:eastAsia="zh-CN" w:bidi="ar"/>
              </w:rPr>
              <w:t>100</w:t>
            </w:r>
          </w:p>
        </w:tc>
      </w:tr>
    </w:tbl>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rPr>
          <w:rFonts w:hint="eastAsia" w:ascii="黑体" w:hAnsi="黑体" w:eastAsia="黑体" w:cs="黑体"/>
          <w:iCs/>
          <w:color w:val="auto"/>
          <w:kern w:val="2"/>
          <w:sz w:val="32"/>
          <w:szCs w:val="32"/>
          <w:lang w:val="zh-CN" w:eastAsia="zh-CN" w:bidi="ar-SA"/>
        </w:rPr>
      </w:pPr>
      <w:r>
        <w:rPr>
          <w:rFonts w:hint="eastAsia" w:ascii="黑体" w:hAnsi="黑体" w:eastAsia="黑体" w:cs="黑体"/>
          <w:iCs/>
          <w:color w:val="auto"/>
          <w:kern w:val="2"/>
          <w:sz w:val="32"/>
          <w:szCs w:val="32"/>
          <w:lang w:val="zh-CN" w:eastAsia="zh-CN" w:bidi="ar-SA"/>
        </w:rPr>
        <w:t>三、技术要求</w:t>
      </w:r>
    </w:p>
    <w:p>
      <w:pPr>
        <w:keepNext w:val="0"/>
        <w:keepLines w:val="0"/>
        <w:pageBreakBefore w:val="0"/>
        <w:widowControl/>
        <w:kinsoku/>
        <w:wordWrap/>
        <w:overflowPunct/>
        <w:topLinePunct w:val="0"/>
        <w:autoSpaceDE/>
        <w:autoSpaceDN/>
        <w:bidi w:val="0"/>
        <w:adjustRightInd/>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Cs/>
          <w:color w:val="auto"/>
          <w:sz w:val="32"/>
          <w:szCs w:val="32"/>
          <w:lang w:val="zh-CN" w:bidi="ar"/>
        </w:rPr>
        <w:t>（</w:t>
      </w:r>
      <w:r>
        <w:rPr>
          <w:rFonts w:hint="eastAsia" w:ascii="仿宋_GB2312" w:hAnsi="仿宋_GB2312" w:eastAsia="仿宋_GB2312" w:cs="仿宋_GB2312"/>
          <w:color w:val="auto"/>
          <w:sz w:val="32"/>
          <w:szCs w:val="32"/>
          <w:highlight w:val="none"/>
        </w:rPr>
        <w:t>充电桩产品设计符合国家有关规范标准，必须满足以下最新国标并体现在型式试验检测报告中。</w:t>
      </w:r>
    </w:p>
    <w:p>
      <w:pPr>
        <w:keepNext w:val="0"/>
        <w:keepLines w:val="0"/>
        <w:pageBreakBefore w:val="0"/>
        <w:widowControl/>
        <w:kinsoku/>
        <w:wordWrap/>
        <w:overflowPunct/>
        <w:topLinePunct w:val="0"/>
        <w:autoSpaceDE/>
        <w:autoSpaceDN/>
        <w:bidi w:val="0"/>
        <w:adjustRightInd/>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 xml:space="preserve">NB/T 33002-2018《电动汽车交流充电桩技术条件》 </w:t>
      </w:r>
    </w:p>
    <w:p>
      <w:pPr>
        <w:keepNext w:val="0"/>
        <w:keepLines w:val="0"/>
        <w:pageBreakBefore w:val="0"/>
        <w:widowControl/>
        <w:kinsoku/>
        <w:wordWrap/>
        <w:overflowPunct/>
        <w:topLinePunct w:val="0"/>
        <w:autoSpaceDE/>
        <w:autoSpaceDN/>
        <w:bidi w:val="0"/>
        <w:adjustRightInd/>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 xml:space="preserve">NB/T 33008.2-2018《电动汽车充电设备检验试验规范 第 2 部分：交流充电桩》 </w:t>
      </w:r>
    </w:p>
    <w:p>
      <w:pPr>
        <w:keepNext w:val="0"/>
        <w:keepLines w:val="0"/>
        <w:pageBreakBefore w:val="0"/>
        <w:widowControl/>
        <w:kinsoku/>
        <w:wordWrap/>
        <w:overflowPunct/>
        <w:topLinePunct w:val="0"/>
        <w:autoSpaceDE/>
        <w:autoSpaceDN/>
        <w:bidi w:val="0"/>
        <w:adjustRightInd/>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 xml:space="preserve">GB/T 18487.1-2015《电动汽车传导充电系统第 1 部分：通用要求》 </w:t>
      </w:r>
    </w:p>
    <w:p>
      <w:pPr>
        <w:keepNext w:val="0"/>
        <w:keepLines w:val="0"/>
        <w:pageBreakBefore w:val="0"/>
        <w:widowControl/>
        <w:kinsoku/>
        <w:wordWrap/>
        <w:overflowPunct/>
        <w:topLinePunct w:val="0"/>
        <w:autoSpaceDE/>
        <w:autoSpaceDN/>
        <w:bidi w:val="0"/>
        <w:adjustRightInd/>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GB/T 18487.2-2017《电动汽车传导充电系统 第 2 部分：非车载传导供电设备电磁兼容》</w:t>
      </w:r>
    </w:p>
    <w:p>
      <w:pPr>
        <w:pStyle w:val="2"/>
        <w:bidi w:val="0"/>
        <w:rPr>
          <w:rFonts w:hint="eastAsia" w:ascii="仿宋_GB2312" w:hAnsi="仿宋_GB2312" w:eastAsia="仿宋_GB2312" w:cs="仿宋_GB2312"/>
          <w:color w:val="auto"/>
          <w:sz w:val="32"/>
          <w:szCs w:val="32"/>
          <w:highlight w:val="none"/>
        </w:rPr>
      </w:pPr>
      <w:bookmarkStart w:id="3" w:name="_Toc98411310"/>
      <w:r>
        <w:rPr>
          <w:rFonts w:hint="eastAsia" w:ascii="仿宋_GB2312" w:hAnsi="仿宋_GB2312" w:eastAsia="仿宋_GB2312" w:cs="仿宋_GB2312"/>
          <w:color w:val="auto"/>
          <w:sz w:val="32"/>
          <w:szCs w:val="32"/>
          <w:highlight w:val="none"/>
        </w:rPr>
        <w:t>环境条件</w:t>
      </w:r>
      <w:bookmarkEnd w:id="3"/>
    </w:p>
    <w:p>
      <w:pPr>
        <w:keepNext w:val="0"/>
        <w:keepLines w:val="0"/>
        <w:pageBreakBefore w:val="0"/>
        <w:widowControl/>
        <w:kinsoku/>
        <w:wordWrap/>
        <w:overflowPunct/>
        <w:topLinePunct w:val="0"/>
        <w:autoSpaceDE/>
        <w:autoSpaceDN/>
        <w:bidi w:val="0"/>
        <w:snapToGrid w:val="0"/>
        <w:spacing w:line="300" w:lineRule="auto"/>
        <w:ind w:firstLine="643" w:firstLineChars="20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lang w:val="en-US" w:eastAsia="zh-CN"/>
        </w:rPr>
        <w:t>1、</w:t>
      </w:r>
      <w:r>
        <w:rPr>
          <w:rFonts w:hint="eastAsia" w:ascii="仿宋_GB2312" w:hAnsi="仿宋_GB2312" w:eastAsia="仿宋_GB2312" w:cs="仿宋_GB2312"/>
          <w:b/>
          <w:bCs/>
          <w:color w:val="auto"/>
          <w:sz w:val="32"/>
          <w:szCs w:val="32"/>
          <w:highlight w:val="none"/>
        </w:rPr>
        <w:t>海拔高度</w:t>
      </w:r>
    </w:p>
    <w:p>
      <w:pPr>
        <w:keepNext w:val="0"/>
        <w:keepLines w:val="0"/>
        <w:pageBreakBefore w:val="0"/>
        <w:widowControl/>
        <w:kinsoku/>
        <w:wordWrap/>
        <w:overflowPunct/>
        <w:topLinePunct w:val="0"/>
        <w:autoSpaceDE/>
        <w:autoSpaceDN/>
        <w:bidi w:val="0"/>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设备应满足使用环境条件：海拔高度≤2000m。</w:t>
      </w:r>
    </w:p>
    <w:p>
      <w:pPr>
        <w:keepNext w:val="0"/>
        <w:keepLines w:val="0"/>
        <w:pageBreakBefore w:val="0"/>
        <w:widowControl/>
        <w:kinsoku/>
        <w:wordWrap/>
        <w:overflowPunct/>
        <w:topLinePunct w:val="0"/>
        <w:autoSpaceDE/>
        <w:autoSpaceDN/>
        <w:bidi w:val="0"/>
        <w:snapToGrid w:val="0"/>
        <w:spacing w:line="300" w:lineRule="auto"/>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2、温度</w:t>
      </w:r>
    </w:p>
    <w:p>
      <w:pPr>
        <w:keepNext w:val="0"/>
        <w:keepLines w:val="0"/>
        <w:pageBreakBefore w:val="0"/>
        <w:widowControl/>
        <w:kinsoku/>
        <w:wordWrap/>
        <w:overflowPunct/>
        <w:topLinePunct w:val="0"/>
        <w:autoSpaceDE/>
        <w:autoSpaceDN/>
        <w:bidi w:val="0"/>
        <w:adjustRightInd w:val="0"/>
        <w:snapToGrid w:val="0"/>
        <w:spacing w:line="300" w:lineRule="auto"/>
        <w:ind w:firstLine="640" w:firstLineChars="200"/>
        <w:jc w:val="left"/>
        <w:textAlignment w:val="auto"/>
        <w:rPr>
          <w:rFonts w:hint="eastAsia" w:ascii="仿宋_GB2312" w:hAnsi="仿宋_GB2312" w:eastAsia="仿宋_GB2312" w:cs="仿宋_GB2312"/>
          <w:color w:val="auto"/>
          <w:kern w:val="0"/>
          <w:sz w:val="32"/>
          <w:szCs w:val="32"/>
          <w:highlight w:val="none"/>
          <w:lang w:bidi="ar"/>
        </w:rPr>
      </w:pPr>
      <w:r>
        <w:rPr>
          <w:rFonts w:hint="eastAsia" w:ascii="仿宋_GB2312" w:hAnsi="仿宋_GB2312" w:eastAsia="仿宋_GB2312" w:cs="仿宋_GB2312"/>
          <w:color w:val="auto"/>
          <w:kern w:val="0"/>
          <w:sz w:val="32"/>
          <w:szCs w:val="32"/>
          <w:highlight w:val="none"/>
          <w:lang w:bidi="ar"/>
        </w:rPr>
        <w:t>设备运行期间周围环境温度不高于50℃，不低于-20℃。</w:t>
      </w:r>
    </w:p>
    <w:p>
      <w:pPr>
        <w:keepNext w:val="0"/>
        <w:keepLines w:val="0"/>
        <w:pageBreakBefore w:val="0"/>
        <w:widowControl/>
        <w:kinsoku/>
        <w:wordWrap/>
        <w:overflowPunct/>
        <w:topLinePunct w:val="0"/>
        <w:autoSpaceDE/>
        <w:autoSpaceDN/>
        <w:bidi w:val="0"/>
        <w:snapToGrid w:val="0"/>
        <w:spacing w:line="300" w:lineRule="auto"/>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3、湿度</w:t>
      </w:r>
    </w:p>
    <w:p>
      <w:pPr>
        <w:keepNext w:val="0"/>
        <w:keepLines w:val="0"/>
        <w:pageBreakBefore w:val="0"/>
        <w:widowControl/>
        <w:kinsoku/>
        <w:wordWrap/>
        <w:overflowPunct/>
        <w:topLinePunct w:val="0"/>
        <w:autoSpaceDE/>
        <w:autoSpaceDN/>
        <w:bidi w:val="0"/>
        <w:adjustRightInd w:val="0"/>
        <w:snapToGrid w:val="0"/>
        <w:spacing w:line="300" w:lineRule="auto"/>
        <w:ind w:firstLine="640" w:firstLineChars="200"/>
        <w:jc w:val="left"/>
        <w:textAlignment w:val="auto"/>
        <w:rPr>
          <w:rFonts w:hint="eastAsia" w:ascii="仿宋_GB2312" w:hAnsi="仿宋_GB2312" w:eastAsia="仿宋_GB2312" w:cs="仿宋_GB2312"/>
          <w:color w:val="auto"/>
          <w:kern w:val="0"/>
          <w:sz w:val="32"/>
          <w:szCs w:val="32"/>
          <w:highlight w:val="none"/>
          <w:lang w:bidi="ar"/>
        </w:rPr>
      </w:pPr>
      <w:r>
        <w:rPr>
          <w:rFonts w:hint="eastAsia" w:ascii="仿宋_GB2312" w:hAnsi="仿宋_GB2312" w:eastAsia="仿宋_GB2312" w:cs="仿宋_GB2312"/>
          <w:color w:val="auto"/>
          <w:kern w:val="0"/>
          <w:sz w:val="32"/>
          <w:szCs w:val="32"/>
          <w:highlight w:val="none"/>
          <w:lang w:bidi="ar"/>
        </w:rPr>
        <w:t>日平均相对湿度不大于95%，月平均相对湿度不大于90%。</w:t>
      </w:r>
    </w:p>
    <w:p>
      <w:pPr>
        <w:keepNext w:val="0"/>
        <w:keepLines w:val="0"/>
        <w:pageBreakBefore w:val="0"/>
        <w:widowControl/>
        <w:kinsoku/>
        <w:wordWrap/>
        <w:overflowPunct/>
        <w:topLinePunct w:val="0"/>
        <w:autoSpaceDE/>
        <w:autoSpaceDN/>
        <w:bidi w:val="0"/>
        <w:snapToGrid w:val="0"/>
        <w:spacing w:line="300" w:lineRule="auto"/>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4、安装垂直倾斜度</w:t>
      </w:r>
    </w:p>
    <w:p>
      <w:pPr>
        <w:keepNext w:val="0"/>
        <w:keepLines w:val="0"/>
        <w:pageBreakBefore w:val="0"/>
        <w:widowControl/>
        <w:kinsoku/>
        <w:wordWrap/>
        <w:overflowPunct/>
        <w:topLinePunct w:val="0"/>
        <w:autoSpaceDE/>
        <w:autoSpaceDN/>
        <w:bidi w:val="0"/>
        <w:adjustRightInd w:val="0"/>
        <w:snapToGrid w:val="0"/>
        <w:spacing w:line="300" w:lineRule="auto"/>
        <w:ind w:firstLine="640" w:firstLineChars="200"/>
        <w:jc w:val="left"/>
        <w:textAlignment w:val="auto"/>
        <w:rPr>
          <w:rFonts w:hint="eastAsia" w:ascii="仿宋_GB2312" w:hAnsi="仿宋_GB2312" w:eastAsia="仿宋_GB2312" w:cs="仿宋_GB2312"/>
          <w:color w:val="auto"/>
          <w:kern w:val="0"/>
          <w:sz w:val="32"/>
          <w:szCs w:val="32"/>
          <w:highlight w:val="none"/>
          <w:lang w:bidi="ar"/>
        </w:rPr>
      </w:pPr>
      <w:r>
        <w:rPr>
          <w:rFonts w:hint="eastAsia" w:ascii="仿宋_GB2312" w:hAnsi="仿宋_GB2312" w:eastAsia="仿宋_GB2312" w:cs="仿宋_GB2312"/>
          <w:color w:val="auto"/>
          <w:kern w:val="0"/>
          <w:sz w:val="32"/>
          <w:szCs w:val="32"/>
          <w:highlight w:val="none"/>
          <w:lang w:bidi="ar"/>
        </w:rPr>
        <w:t>不超过5%。</w:t>
      </w:r>
    </w:p>
    <w:p>
      <w:pPr>
        <w:pStyle w:val="2"/>
        <w:bidi w:val="0"/>
        <w:rPr>
          <w:rFonts w:hint="eastAsia" w:ascii="仿宋_GB2312" w:hAnsi="仿宋_GB2312" w:eastAsia="仿宋_GB2312" w:cs="仿宋_GB2312"/>
          <w:color w:val="auto"/>
          <w:sz w:val="32"/>
          <w:szCs w:val="32"/>
          <w:highlight w:val="none"/>
        </w:rPr>
      </w:pPr>
      <w:bookmarkStart w:id="4" w:name="_Toc256337143"/>
      <w:bookmarkStart w:id="5" w:name="_Toc98411311"/>
      <w:bookmarkStart w:id="6" w:name="_Toc252561225"/>
      <w:r>
        <w:rPr>
          <w:rFonts w:hint="eastAsia" w:ascii="仿宋_GB2312" w:hAnsi="仿宋_GB2312" w:eastAsia="仿宋_GB2312" w:cs="仿宋_GB2312"/>
          <w:color w:val="auto"/>
          <w:sz w:val="32"/>
          <w:szCs w:val="32"/>
          <w:highlight w:val="none"/>
        </w:rPr>
        <w:t>通用要求</w:t>
      </w:r>
      <w:bookmarkEnd w:id="4"/>
      <w:bookmarkEnd w:id="5"/>
      <w:bookmarkEnd w:id="6"/>
    </w:p>
    <w:p>
      <w:pPr>
        <w:keepNext w:val="0"/>
        <w:keepLines w:val="0"/>
        <w:pageBreakBefore w:val="0"/>
        <w:kinsoku/>
        <w:wordWrap/>
        <w:overflowPunct/>
        <w:topLinePunct w:val="0"/>
        <w:bidi w:val="0"/>
        <w:snapToGrid w:val="0"/>
        <w:spacing w:line="300" w:lineRule="auto"/>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1、主要技术参数</w:t>
      </w:r>
    </w:p>
    <w:p>
      <w:pPr>
        <w:keepNext w:val="0"/>
        <w:keepLines w:val="0"/>
        <w:pageBreakBefore w:val="0"/>
        <w:kinsoku/>
        <w:wordWrap/>
        <w:overflowPunct/>
        <w:topLinePunct w:val="0"/>
        <w:bidi w:val="0"/>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交流输入电压:单相220V±15%（187V～253V AC）</w:t>
      </w:r>
    </w:p>
    <w:p>
      <w:pPr>
        <w:keepNext w:val="0"/>
        <w:keepLines w:val="0"/>
        <w:pageBreakBefore w:val="0"/>
        <w:kinsoku/>
        <w:wordWrap/>
        <w:overflowPunct/>
        <w:topLinePunct w:val="0"/>
        <w:bidi w:val="0"/>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交流输入频率:50Hz±</w:t>
      </w:r>
      <w:r>
        <w:rPr>
          <w:rFonts w:hint="eastAsia" w:ascii="仿宋_GB2312" w:hAnsi="仿宋_GB2312" w:eastAsia="仿宋_GB2312" w:cs="仿宋_GB2312"/>
          <w:color w:val="auto"/>
          <w:sz w:val="32"/>
          <w:szCs w:val="32"/>
          <w:highlight w:val="none"/>
          <w:lang w:val="en-US" w:eastAsia="zh-CN"/>
        </w:rPr>
        <w:t>1Hz</w:t>
      </w:r>
      <w:r>
        <w:rPr>
          <w:rFonts w:hint="eastAsia" w:ascii="仿宋_GB2312" w:hAnsi="仿宋_GB2312" w:eastAsia="仿宋_GB2312" w:cs="仿宋_GB2312"/>
          <w:color w:val="auto"/>
          <w:sz w:val="32"/>
          <w:szCs w:val="32"/>
          <w:highlight w:val="none"/>
        </w:rPr>
        <w:t>。</w:t>
      </w:r>
    </w:p>
    <w:p>
      <w:pPr>
        <w:keepNext w:val="0"/>
        <w:keepLines w:val="0"/>
        <w:pageBreakBefore w:val="0"/>
        <w:kinsoku/>
        <w:wordWrap/>
        <w:overflowPunct/>
        <w:topLinePunct w:val="0"/>
        <w:bidi w:val="0"/>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额定电流:</w:t>
      </w:r>
      <w:r>
        <w:rPr>
          <w:rFonts w:hint="eastAsia" w:ascii="仿宋_GB2312" w:hAnsi="仿宋_GB2312" w:eastAsia="仿宋_GB2312" w:cs="仿宋_GB2312"/>
          <w:color w:val="auto"/>
          <w:sz w:val="32"/>
          <w:szCs w:val="32"/>
          <w:highlight w:val="none"/>
          <w:lang w:val="en-US" w:eastAsia="zh-CN"/>
        </w:rPr>
        <w:t>32</w:t>
      </w:r>
      <w:r>
        <w:rPr>
          <w:rFonts w:hint="eastAsia" w:ascii="仿宋_GB2312" w:hAnsi="仿宋_GB2312" w:eastAsia="仿宋_GB2312" w:cs="仿宋_GB2312"/>
          <w:color w:val="auto"/>
          <w:sz w:val="32"/>
          <w:szCs w:val="32"/>
          <w:highlight w:val="none"/>
        </w:rPr>
        <w:t>A(单枪7kW)</w:t>
      </w:r>
    </w:p>
    <w:p>
      <w:pPr>
        <w:keepNext w:val="0"/>
        <w:keepLines w:val="0"/>
        <w:pageBreakBefore w:val="0"/>
        <w:kinsoku/>
        <w:wordWrap/>
        <w:overflowPunct/>
        <w:topLinePunct w:val="0"/>
        <w:bidi w:val="0"/>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待机损耗:设备待机损耗小于</w:t>
      </w:r>
      <w:r>
        <w:rPr>
          <w:rFonts w:hint="eastAsia" w:ascii="仿宋_GB2312" w:hAnsi="仿宋_GB2312" w:eastAsia="仿宋_GB2312" w:cs="仿宋_GB2312"/>
          <w:color w:val="auto"/>
          <w:sz w:val="32"/>
          <w:szCs w:val="32"/>
          <w:highlight w:val="none"/>
          <w:lang w:val="en-US" w:eastAsia="zh-CN"/>
        </w:rPr>
        <w:t>5W</w:t>
      </w:r>
      <w:r>
        <w:rPr>
          <w:rFonts w:hint="eastAsia" w:ascii="仿宋_GB2312" w:hAnsi="仿宋_GB2312" w:eastAsia="仿宋_GB2312" w:cs="仿宋_GB2312"/>
          <w:color w:val="auto"/>
          <w:sz w:val="32"/>
          <w:szCs w:val="32"/>
          <w:highlight w:val="none"/>
        </w:rPr>
        <w:t>。</w:t>
      </w:r>
    </w:p>
    <w:p>
      <w:pPr>
        <w:keepNext w:val="0"/>
        <w:keepLines w:val="0"/>
        <w:pageBreakBefore w:val="0"/>
        <w:kinsoku/>
        <w:wordWrap/>
        <w:overflowPunct/>
        <w:topLinePunct w:val="0"/>
        <w:bidi w:val="0"/>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防护等级：IP65 （备注：交流桩散热要求低，IP等级可比IP54高,做到用水冲洗，无任何伤害）。</w:t>
      </w:r>
    </w:p>
    <w:p>
      <w:pPr>
        <w:keepNext w:val="0"/>
        <w:keepLines w:val="0"/>
        <w:pageBreakBefore w:val="0"/>
        <w:kinsoku/>
        <w:wordWrap/>
        <w:overflowPunct/>
        <w:topLinePunct w:val="0"/>
        <w:bidi w:val="0"/>
        <w:snapToGrid w:val="0"/>
        <w:spacing w:line="300" w:lineRule="auto"/>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2、主要性能要求（*）</w:t>
      </w:r>
    </w:p>
    <w:p>
      <w:pPr>
        <w:keepNext w:val="0"/>
        <w:keepLines w:val="0"/>
        <w:pageBreakBefore w:val="0"/>
        <w:widowControl w:val="0"/>
        <w:kinsoku/>
        <w:wordWrap/>
        <w:overflowPunct/>
        <w:topLinePunct w:val="0"/>
        <w:autoSpaceDE w:val="0"/>
        <w:autoSpaceDN w:val="0"/>
        <w:bidi w:val="0"/>
        <w:adjustRightInd w:val="0"/>
        <w:snapToGrid w:val="0"/>
        <w:spacing w:line="300" w:lineRule="auto"/>
        <w:ind w:right="4082" w:firstLine="643" w:firstLineChars="200"/>
        <w:jc w:val="left"/>
        <w:textAlignment w:val="auto"/>
        <w:rPr>
          <w:rFonts w:hint="eastAsia" w:ascii="仿宋_GB2312" w:hAnsi="仿宋_GB2312" w:eastAsia="仿宋_GB2312" w:cs="仿宋_GB2312"/>
          <w:b/>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CN"/>
        </w:rPr>
        <w:t>A、</w:t>
      </w:r>
      <w:r>
        <w:rPr>
          <w:rFonts w:hint="eastAsia" w:ascii="仿宋_GB2312" w:hAnsi="仿宋_GB2312" w:eastAsia="仿宋_GB2312" w:cs="仿宋_GB2312"/>
          <w:b/>
          <w:color w:val="auto"/>
          <w:kern w:val="0"/>
          <w:sz w:val="32"/>
          <w:szCs w:val="32"/>
          <w:highlight w:val="none"/>
        </w:rPr>
        <w:t>人机交互功能</w:t>
      </w:r>
    </w:p>
    <w:p>
      <w:pPr>
        <w:keepNext w:val="0"/>
        <w:keepLines w:val="0"/>
        <w:pageBreakBefore w:val="0"/>
        <w:numPr>
          <w:ilvl w:val="0"/>
          <w:numId w:val="1"/>
        </w:numPr>
        <w:kinsoku/>
        <w:wordWrap/>
        <w:overflowPunct/>
        <w:topLinePunct w:val="0"/>
        <w:bidi w:val="0"/>
        <w:snapToGrid w:val="0"/>
        <w:spacing w:line="300" w:lineRule="auto"/>
        <w:ind w:left="1140" w:leftChars="0" w:firstLine="0" w:firstLine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充电操作功能，充电桩应具备如下充电操作功能：</w:t>
      </w:r>
    </w:p>
    <w:p>
      <w:pPr>
        <w:keepNext w:val="0"/>
        <w:keepLines w:val="0"/>
        <w:pageBreakBefore w:val="0"/>
        <w:numPr>
          <w:ilvl w:val="0"/>
          <w:numId w:val="1"/>
        </w:numPr>
        <w:kinsoku/>
        <w:wordWrap/>
        <w:overflowPunct/>
        <w:topLinePunct w:val="0"/>
        <w:bidi w:val="0"/>
        <w:snapToGrid w:val="0"/>
        <w:spacing w:line="300" w:lineRule="auto"/>
        <w:ind w:left="1140" w:leftChars="0" w:firstLine="0" w:firstLine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手机扫码充电及支付功能；</w:t>
      </w:r>
    </w:p>
    <w:p>
      <w:pPr>
        <w:keepNext w:val="0"/>
        <w:keepLines w:val="0"/>
        <w:pageBreakBefore w:val="0"/>
        <w:numPr>
          <w:ilvl w:val="0"/>
          <w:numId w:val="1"/>
        </w:numPr>
        <w:kinsoku/>
        <w:wordWrap/>
        <w:overflowPunct/>
        <w:topLinePunct w:val="0"/>
        <w:bidi w:val="0"/>
        <w:snapToGrid w:val="0"/>
        <w:spacing w:line="300" w:lineRule="auto"/>
        <w:ind w:left="1140" w:leftChars="0" w:firstLine="0" w:firstLine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刷卡进行充电操作及支付功能。</w:t>
      </w:r>
    </w:p>
    <w:p>
      <w:pPr>
        <w:keepNext w:val="0"/>
        <w:keepLines w:val="0"/>
        <w:pageBreakBefore w:val="0"/>
        <w:numPr>
          <w:ilvl w:val="0"/>
          <w:numId w:val="1"/>
        </w:numPr>
        <w:kinsoku/>
        <w:wordWrap/>
        <w:overflowPunct/>
        <w:topLinePunct w:val="0"/>
        <w:bidi w:val="0"/>
        <w:snapToGrid w:val="0"/>
        <w:spacing w:line="300" w:lineRule="auto"/>
        <w:ind w:left="1140" w:leftChars="0" w:firstLine="0" w:firstLine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充电桩面板具有充电指示灯，能够通过不同颜色区分待机、</w:t>
      </w:r>
      <w:r>
        <w:rPr>
          <w:rFonts w:hint="eastAsia" w:ascii="仿宋_GB2312" w:hAnsi="仿宋_GB2312" w:eastAsia="仿宋_GB2312" w:cs="仿宋_GB2312"/>
          <w:color w:val="auto"/>
          <w:sz w:val="32"/>
          <w:szCs w:val="32"/>
          <w:highlight w:val="none"/>
          <w:lang w:val="en-US" w:eastAsia="zh-CN"/>
        </w:rPr>
        <w:t>已插枪、</w:t>
      </w:r>
      <w:r>
        <w:rPr>
          <w:rFonts w:hint="eastAsia" w:ascii="仿宋_GB2312" w:hAnsi="仿宋_GB2312" w:eastAsia="仿宋_GB2312" w:cs="仿宋_GB2312"/>
          <w:color w:val="auto"/>
          <w:sz w:val="32"/>
          <w:szCs w:val="32"/>
          <w:highlight w:val="none"/>
        </w:rPr>
        <w:t>充电中、故障状态</w:t>
      </w:r>
      <w:r>
        <w:rPr>
          <w:rFonts w:hint="eastAsia" w:ascii="仿宋_GB2312" w:hAnsi="仿宋_GB2312" w:eastAsia="仿宋_GB2312" w:cs="仿宋_GB2312"/>
          <w:color w:val="auto"/>
          <w:sz w:val="32"/>
          <w:szCs w:val="32"/>
          <w:highlight w:val="none"/>
          <w:lang w:val="en-US" w:eastAsia="zh-CN"/>
        </w:rPr>
        <w:t>四种状态</w:t>
      </w:r>
      <w:r>
        <w:rPr>
          <w:rFonts w:hint="eastAsia" w:ascii="仿宋_GB2312" w:hAnsi="仿宋_GB2312" w:eastAsia="仿宋_GB2312" w:cs="仿宋_GB2312"/>
          <w:color w:val="auto"/>
          <w:sz w:val="32"/>
          <w:szCs w:val="32"/>
          <w:highlight w:val="none"/>
          <w:lang w:eastAsia="zh-CN"/>
        </w:rPr>
        <w:t>。</w:t>
      </w:r>
    </w:p>
    <w:p>
      <w:pPr>
        <w:keepNext w:val="0"/>
        <w:keepLines w:val="0"/>
        <w:pageBreakBefore w:val="0"/>
        <w:numPr>
          <w:ilvl w:val="0"/>
          <w:numId w:val="1"/>
        </w:numPr>
        <w:kinsoku/>
        <w:wordWrap/>
        <w:overflowPunct/>
        <w:topLinePunct w:val="0"/>
        <w:bidi w:val="0"/>
        <w:snapToGrid w:val="0"/>
        <w:spacing w:line="300" w:lineRule="auto"/>
        <w:ind w:left="1140" w:leftChars="0" w:firstLine="0" w:firstLine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 xml:space="preserve">提供运营平台的接入服务。充电控制、充电导航、信息查询、在线支付等功能应能通过开放的后台实现。 </w:t>
      </w:r>
    </w:p>
    <w:p>
      <w:pPr>
        <w:keepNext w:val="0"/>
        <w:keepLines w:val="0"/>
        <w:pageBreakBefore w:val="0"/>
        <w:numPr>
          <w:ilvl w:val="0"/>
          <w:numId w:val="1"/>
        </w:numPr>
        <w:kinsoku/>
        <w:wordWrap/>
        <w:overflowPunct/>
        <w:topLinePunct w:val="0"/>
        <w:bidi w:val="0"/>
        <w:snapToGrid w:val="0"/>
        <w:spacing w:line="300" w:lineRule="auto"/>
        <w:ind w:left="1140" w:leftChars="0" w:firstLine="0" w:firstLine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信息显示字符清晰、完整，应不依靠环境光源即可辨认。</w:t>
      </w:r>
    </w:p>
    <w:p>
      <w:pPr>
        <w:keepNext w:val="0"/>
        <w:keepLines w:val="0"/>
        <w:pageBreakBefore w:val="0"/>
        <w:widowControl w:val="0"/>
        <w:kinsoku/>
        <w:wordWrap/>
        <w:overflowPunct/>
        <w:topLinePunct w:val="0"/>
        <w:autoSpaceDE w:val="0"/>
        <w:autoSpaceDN w:val="0"/>
        <w:bidi w:val="0"/>
        <w:adjustRightInd w:val="0"/>
        <w:snapToGrid w:val="0"/>
        <w:spacing w:line="300" w:lineRule="auto"/>
        <w:ind w:firstLine="643" w:firstLineChars="200"/>
        <w:textAlignment w:val="auto"/>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b/>
          <w:color w:val="auto"/>
          <w:kern w:val="0"/>
          <w:sz w:val="32"/>
          <w:szCs w:val="32"/>
          <w:highlight w:val="none"/>
          <w:lang w:val="en-US" w:eastAsia="zh-CN"/>
        </w:rPr>
        <w:t>B、</w:t>
      </w:r>
      <w:r>
        <w:rPr>
          <w:rFonts w:hint="eastAsia" w:ascii="仿宋_GB2312" w:hAnsi="仿宋_GB2312" w:eastAsia="仿宋_GB2312" w:cs="仿宋_GB2312"/>
          <w:b/>
          <w:color w:val="auto"/>
          <w:sz w:val="32"/>
          <w:szCs w:val="32"/>
          <w:highlight w:val="none"/>
        </w:rPr>
        <w:t>计量功能</w:t>
      </w:r>
    </w:p>
    <w:p>
      <w:pPr>
        <w:keepNext w:val="0"/>
        <w:keepLines w:val="0"/>
        <w:pageBreakBefore w:val="0"/>
        <w:kinsoku/>
        <w:wordWrap/>
        <w:overflowPunct/>
        <w:topLinePunct w:val="0"/>
        <w:bidi w:val="0"/>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每个充电桩设备可单独计量，配置电能计量</w:t>
      </w:r>
      <w:r>
        <w:rPr>
          <w:rFonts w:hint="eastAsia" w:ascii="仿宋_GB2312" w:hAnsi="仿宋_GB2312" w:eastAsia="仿宋_GB2312" w:cs="仿宋_GB2312"/>
          <w:color w:val="auto"/>
          <w:sz w:val="32"/>
          <w:szCs w:val="32"/>
          <w:highlight w:val="none"/>
          <w:lang w:val="en-US" w:eastAsia="zh-CN"/>
        </w:rPr>
        <w:t>装置</w:t>
      </w:r>
      <w:r>
        <w:rPr>
          <w:rFonts w:hint="eastAsia" w:ascii="仿宋_GB2312" w:hAnsi="仿宋_GB2312" w:eastAsia="仿宋_GB2312" w:cs="仿宋_GB2312"/>
          <w:color w:val="auto"/>
          <w:sz w:val="32"/>
          <w:szCs w:val="32"/>
          <w:highlight w:val="none"/>
        </w:rPr>
        <w:t>，精确度等级不低于1.0级，电能计量装置安装于充电桩内部，并应提供实施电能表现场检定的接口，便于现场核查计量装置的例行操作。计量装置应符合国家计量器具检定相关要求并提供检测报告。</w:t>
      </w:r>
    </w:p>
    <w:p>
      <w:pPr>
        <w:keepNext w:val="0"/>
        <w:keepLines w:val="0"/>
        <w:pageBreakBefore w:val="0"/>
        <w:widowControl w:val="0"/>
        <w:kinsoku/>
        <w:wordWrap/>
        <w:overflowPunct/>
        <w:topLinePunct w:val="0"/>
        <w:autoSpaceDE w:val="0"/>
        <w:autoSpaceDN w:val="0"/>
        <w:bidi w:val="0"/>
        <w:adjustRightInd w:val="0"/>
        <w:snapToGrid w:val="0"/>
        <w:spacing w:line="300" w:lineRule="auto"/>
        <w:ind w:firstLine="42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C、启动与停机功能</w:t>
      </w:r>
    </w:p>
    <w:p>
      <w:pPr>
        <w:keepNext w:val="0"/>
        <w:keepLines w:val="0"/>
        <w:pageBreakBefore w:val="0"/>
        <w:kinsoku/>
        <w:wordWrap/>
        <w:overflowPunct/>
        <w:topLinePunct w:val="0"/>
        <w:bidi w:val="0"/>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  交流充电桩支持的启动方式：刷卡启动、扫码启动。</w:t>
      </w:r>
    </w:p>
    <w:p>
      <w:pPr>
        <w:keepNext w:val="0"/>
        <w:keepLines w:val="0"/>
        <w:pageBreakBefore w:val="0"/>
        <w:kinsoku/>
        <w:wordWrap/>
        <w:overflowPunct/>
        <w:topLinePunct w:val="0"/>
        <w:bidi w:val="0"/>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  交流充电桩支持的停机方式：自动充满停机、达到限定金额停机、客户端手动停机、急停停机、刷卡停机。</w:t>
      </w:r>
    </w:p>
    <w:p>
      <w:pPr>
        <w:keepNext w:val="0"/>
        <w:keepLines w:val="0"/>
        <w:pageBreakBefore w:val="0"/>
        <w:widowControl w:val="0"/>
        <w:kinsoku/>
        <w:wordWrap/>
        <w:overflowPunct/>
        <w:topLinePunct w:val="0"/>
        <w:autoSpaceDE w:val="0"/>
        <w:autoSpaceDN w:val="0"/>
        <w:bidi w:val="0"/>
        <w:adjustRightInd w:val="0"/>
        <w:snapToGrid w:val="0"/>
        <w:spacing w:line="300" w:lineRule="auto"/>
        <w:ind w:firstLine="643" w:firstLineChars="200"/>
        <w:textAlignment w:val="auto"/>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b/>
          <w:bCs/>
          <w:color w:val="auto"/>
          <w:sz w:val="32"/>
          <w:szCs w:val="32"/>
          <w:highlight w:val="none"/>
          <w:lang w:val="en-US" w:eastAsia="zh-CN"/>
        </w:rPr>
        <w:t>D、</w:t>
      </w:r>
      <w:r>
        <w:rPr>
          <w:rFonts w:hint="eastAsia" w:ascii="仿宋_GB2312" w:hAnsi="仿宋_GB2312" w:eastAsia="仿宋_GB2312" w:cs="仿宋_GB2312"/>
          <w:b/>
          <w:color w:val="auto"/>
          <w:sz w:val="32"/>
          <w:szCs w:val="32"/>
          <w:highlight w:val="none"/>
        </w:rPr>
        <w:t>充电接口要求</w:t>
      </w:r>
    </w:p>
    <w:p>
      <w:pPr>
        <w:keepNext w:val="0"/>
        <w:keepLines w:val="0"/>
        <w:pageBreakBefore w:val="0"/>
        <w:kinsoku/>
        <w:wordWrap/>
        <w:overflowPunct/>
        <w:topLinePunct w:val="0"/>
        <w:bidi w:val="0"/>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 充电连接装置应满足国标GB/T 20234.1-2015《电动汽车传导充电用连接装置 第1部分 通用要求》和GB/T 20234.2-2015《电动汽车传导充电用连接装置 第2部分交流充电接口》中的规定。</w:t>
      </w:r>
    </w:p>
    <w:p>
      <w:pPr>
        <w:keepNext w:val="0"/>
        <w:keepLines w:val="0"/>
        <w:pageBreakBefore w:val="0"/>
        <w:kinsoku/>
        <w:wordWrap/>
        <w:overflowPunct/>
        <w:topLinePunct w:val="0"/>
        <w:bidi w:val="0"/>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2）充电桩充电线缆长度(充电枪线)：≥</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M。</w:t>
      </w:r>
    </w:p>
    <w:p>
      <w:pPr>
        <w:pStyle w:val="2"/>
        <w:bidi w:val="0"/>
        <w:rPr>
          <w:rFonts w:hint="eastAsia" w:ascii="仿宋_GB2312" w:hAnsi="仿宋_GB2312" w:eastAsia="仿宋_GB2312" w:cs="仿宋_GB2312"/>
          <w:color w:val="auto"/>
          <w:sz w:val="32"/>
          <w:szCs w:val="32"/>
          <w:highlight w:val="none"/>
        </w:rPr>
      </w:pPr>
      <w:bookmarkStart w:id="7" w:name="_Toc98411312"/>
      <w:r>
        <w:rPr>
          <w:rFonts w:hint="eastAsia" w:ascii="仿宋_GB2312" w:hAnsi="仿宋_GB2312" w:eastAsia="仿宋_GB2312" w:cs="仿宋_GB2312"/>
          <w:color w:val="auto"/>
          <w:sz w:val="32"/>
          <w:szCs w:val="32"/>
          <w:highlight w:val="none"/>
        </w:rPr>
        <w:t>电气安全及功能要求</w:t>
      </w:r>
      <w:bookmarkEnd w:id="7"/>
    </w:p>
    <w:p>
      <w:pPr>
        <w:keepNext w:val="0"/>
        <w:keepLines w:val="0"/>
        <w:pageBreakBefore w:val="0"/>
        <w:kinsoku/>
        <w:wordWrap/>
        <w:overflowPunct/>
        <w:topLinePunct w:val="0"/>
        <w:bidi w:val="0"/>
        <w:adjustRightInd/>
        <w:snapToGrid w:val="0"/>
        <w:spacing w:line="300" w:lineRule="auto"/>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1、IP 防护等级</w:t>
      </w:r>
    </w:p>
    <w:p>
      <w:pPr>
        <w:keepNext w:val="0"/>
        <w:keepLines w:val="0"/>
        <w:pageBreakBefore w:val="0"/>
        <w:widowControl w:val="0"/>
        <w:kinsoku/>
        <w:wordWrap/>
        <w:overflowPunct/>
        <w:topLinePunct w:val="0"/>
        <w:autoSpaceDE w:val="0"/>
        <w:autoSpaceDN w:val="0"/>
        <w:bidi w:val="0"/>
        <w:adjustRightInd/>
        <w:snapToGrid w:val="0"/>
        <w:spacing w:line="300" w:lineRule="auto"/>
        <w:ind w:firstLine="1280" w:firstLineChars="4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充电桩防护等级应符合</w:t>
      </w:r>
      <w:r>
        <w:rPr>
          <w:rFonts w:hint="eastAsia" w:ascii="仿宋_GB2312" w:hAnsi="仿宋_GB2312" w:eastAsia="仿宋_GB2312" w:cs="仿宋_GB2312"/>
          <w:color w:val="auto"/>
          <w:kern w:val="0"/>
          <w:sz w:val="32"/>
          <w:szCs w:val="32"/>
          <w:highlight w:val="none"/>
        </w:rPr>
        <w:t>IP</w:t>
      </w:r>
      <w:r>
        <w:rPr>
          <w:rFonts w:hint="eastAsia" w:ascii="仿宋_GB2312" w:hAnsi="仿宋_GB2312" w:eastAsia="仿宋_GB2312" w:cs="仿宋_GB2312"/>
          <w:color w:val="auto"/>
          <w:kern w:val="0"/>
          <w:sz w:val="32"/>
          <w:szCs w:val="32"/>
          <w:highlight w:val="none"/>
          <w:lang w:val="en-US" w:eastAsia="zh-CN"/>
        </w:rPr>
        <w:t>65</w:t>
      </w:r>
      <w:r>
        <w:rPr>
          <w:rFonts w:hint="eastAsia" w:ascii="仿宋_GB2312" w:hAnsi="仿宋_GB2312" w:eastAsia="仿宋_GB2312" w:cs="仿宋_GB2312"/>
          <w:color w:val="auto"/>
          <w:sz w:val="32"/>
          <w:szCs w:val="32"/>
          <w:highlight w:val="none"/>
        </w:rPr>
        <w:t>等级要求。</w:t>
      </w:r>
    </w:p>
    <w:p>
      <w:pPr>
        <w:keepNext w:val="0"/>
        <w:keepLines w:val="0"/>
        <w:pageBreakBefore w:val="0"/>
        <w:kinsoku/>
        <w:wordWrap/>
        <w:overflowPunct/>
        <w:topLinePunct w:val="0"/>
        <w:bidi w:val="0"/>
        <w:adjustRightInd/>
        <w:snapToGrid w:val="0"/>
        <w:spacing w:line="300" w:lineRule="auto"/>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2、 环境温度</w:t>
      </w:r>
    </w:p>
    <w:p>
      <w:pPr>
        <w:keepNext w:val="0"/>
        <w:keepLines w:val="0"/>
        <w:pageBreakBefore w:val="0"/>
        <w:widowControl w:val="0"/>
        <w:kinsoku/>
        <w:wordWrap/>
        <w:overflowPunct/>
        <w:topLinePunct w:val="0"/>
        <w:autoSpaceDE w:val="0"/>
        <w:autoSpaceDN w:val="0"/>
        <w:bidi w:val="0"/>
        <w:adjustRightInd/>
        <w:snapToGrid w:val="0"/>
        <w:spacing w:line="300" w:lineRule="auto"/>
        <w:ind w:firstLine="1280" w:firstLineChars="4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不高于50℃，不低于-20℃。</w:t>
      </w:r>
    </w:p>
    <w:p>
      <w:pPr>
        <w:keepNext w:val="0"/>
        <w:keepLines w:val="0"/>
        <w:pageBreakBefore w:val="0"/>
        <w:kinsoku/>
        <w:wordWrap/>
        <w:overflowPunct/>
        <w:topLinePunct w:val="0"/>
        <w:bidi w:val="0"/>
        <w:adjustRightInd/>
        <w:snapToGrid w:val="0"/>
        <w:spacing w:line="300" w:lineRule="auto"/>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3、 温度适应性</w:t>
      </w:r>
    </w:p>
    <w:p>
      <w:pPr>
        <w:keepNext w:val="0"/>
        <w:keepLines w:val="0"/>
        <w:pageBreakBefore w:val="0"/>
        <w:kinsoku/>
        <w:wordWrap/>
        <w:overflowPunct/>
        <w:topLinePunct w:val="0"/>
        <w:bidi w:val="0"/>
        <w:adjustRightInd/>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交流桩在经过高温、低温和模拟太阳辐射试验后，不应出现以下缺陷：</w:t>
      </w:r>
    </w:p>
    <w:p>
      <w:pPr>
        <w:keepNext w:val="0"/>
        <w:keepLines w:val="0"/>
        <w:pageBreakBefore w:val="0"/>
        <w:kinsoku/>
        <w:wordWrap/>
        <w:overflowPunct/>
        <w:topLinePunct w:val="0"/>
        <w:bidi w:val="0"/>
        <w:adjustRightInd/>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1）交流桩桩体的翘曲、损伤或损坏、永久变形；</w:t>
      </w:r>
    </w:p>
    <w:p>
      <w:pPr>
        <w:keepNext w:val="0"/>
        <w:keepLines w:val="0"/>
        <w:pageBreakBefore w:val="0"/>
        <w:kinsoku/>
        <w:wordWrap/>
        <w:overflowPunct/>
        <w:topLinePunct w:val="0"/>
        <w:bidi w:val="0"/>
        <w:adjustRightInd/>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2）各活动部件开关不灵活或闭锁不可靠；</w:t>
      </w:r>
    </w:p>
    <w:p>
      <w:pPr>
        <w:keepNext w:val="0"/>
        <w:keepLines w:val="0"/>
        <w:pageBreakBefore w:val="0"/>
        <w:kinsoku/>
        <w:wordWrap/>
        <w:overflowPunct/>
        <w:topLinePunct w:val="0"/>
        <w:bidi w:val="0"/>
        <w:adjustRightInd/>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3）涂层、密封等部位的膨胀、开裂、脱落；</w:t>
      </w:r>
    </w:p>
    <w:p>
      <w:pPr>
        <w:keepNext w:val="0"/>
        <w:keepLines w:val="0"/>
        <w:pageBreakBefore w:val="0"/>
        <w:kinsoku/>
        <w:wordWrap/>
        <w:overflowPunct/>
        <w:topLinePunct w:val="0"/>
        <w:bidi w:val="0"/>
        <w:adjustRightInd/>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4）安装件、紧固件的弯曲、松动、移位或损坏；</w:t>
      </w:r>
    </w:p>
    <w:p>
      <w:pPr>
        <w:keepNext w:val="0"/>
        <w:keepLines w:val="0"/>
        <w:pageBreakBefore w:val="0"/>
        <w:kinsoku/>
        <w:wordWrap/>
        <w:overflowPunct/>
        <w:topLinePunct w:val="0"/>
        <w:bidi w:val="0"/>
        <w:adjustRightInd/>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5）金属件的锈蚀或涂覆层脱落；</w:t>
      </w:r>
    </w:p>
    <w:p>
      <w:pPr>
        <w:keepNext w:val="0"/>
        <w:keepLines w:val="0"/>
        <w:pageBreakBefore w:val="0"/>
        <w:kinsoku/>
        <w:wordWrap/>
        <w:overflowPunct/>
        <w:topLinePunct w:val="0"/>
        <w:bidi w:val="0"/>
        <w:adjustRightInd/>
        <w:snapToGrid w:val="0"/>
        <w:spacing w:line="300" w:lineRule="auto"/>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4、 三防保护</w:t>
      </w:r>
    </w:p>
    <w:p>
      <w:pPr>
        <w:keepNext w:val="0"/>
        <w:keepLines w:val="0"/>
        <w:pageBreakBefore w:val="0"/>
        <w:widowControl w:val="0"/>
        <w:kinsoku/>
        <w:wordWrap/>
        <w:overflowPunct/>
        <w:topLinePunct w:val="0"/>
        <w:autoSpaceDE w:val="0"/>
        <w:autoSpaceDN w:val="0"/>
        <w:bidi w:val="0"/>
        <w:adjustRightInd/>
        <w:snapToGrid w:val="0"/>
        <w:spacing w:line="300" w:lineRule="auto"/>
        <w:ind w:firstLine="944" w:firstLineChars="295"/>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交流桩内印刷电路板、接插件等电路应进行防潮湿、防霉变、防盐雾处理，保证交流桩能在室外潮湿、含盐雾的环境下正常运行。</w:t>
      </w:r>
    </w:p>
    <w:p>
      <w:pPr>
        <w:keepNext w:val="0"/>
        <w:keepLines w:val="0"/>
        <w:pageBreakBefore w:val="0"/>
        <w:kinsoku/>
        <w:wordWrap/>
        <w:overflowPunct/>
        <w:topLinePunct w:val="0"/>
        <w:bidi w:val="0"/>
        <w:adjustRightInd/>
        <w:snapToGrid w:val="0"/>
        <w:spacing w:line="300" w:lineRule="auto"/>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5、 耐冲击强度</w:t>
      </w:r>
    </w:p>
    <w:p>
      <w:pPr>
        <w:keepNext w:val="0"/>
        <w:keepLines w:val="0"/>
        <w:pageBreakBefore w:val="0"/>
        <w:widowControl w:val="0"/>
        <w:kinsoku/>
        <w:wordWrap/>
        <w:overflowPunct/>
        <w:topLinePunct w:val="0"/>
        <w:autoSpaceDE w:val="0"/>
        <w:autoSpaceDN w:val="0"/>
        <w:bidi w:val="0"/>
        <w:adjustRightInd/>
        <w:snapToGrid w:val="0"/>
        <w:spacing w:line="300" w:lineRule="auto"/>
        <w:ind w:firstLine="944" w:firstLineChars="295"/>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交流桩的外壳应能承受GB 7251.3-2006 中8.2.10 规定的耐冲击强度试验。</w:t>
      </w:r>
    </w:p>
    <w:p>
      <w:pPr>
        <w:keepNext w:val="0"/>
        <w:keepLines w:val="0"/>
        <w:pageBreakBefore w:val="0"/>
        <w:kinsoku/>
        <w:wordWrap/>
        <w:overflowPunct/>
        <w:topLinePunct w:val="0"/>
        <w:bidi w:val="0"/>
        <w:adjustRightInd/>
        <w:snapToGrid w:val="0"/>
        <w:spacing w:line="300" w:lineRule="auto"/>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6、 各部件的温升</w:t>
      </w:r>
    </w:p>
    <w:p>
      <w:pPr>
        <w:keepNext w:val="0"/>
        <w:keepLines w:val="0"/>
        <w:pageBreakBefore w:val="0"/>
        <w:widowControl w:val="0"/>
        <w:kinsoku/>
        <w:wordWrap/>
        <w:overflowPunct/>
        <w:topLinePunct w:val="0"/>
        <w:autoSpaceDE w:val="0"/>
        <w:autoSpaceDN w:val="0"/>
        <w:bidi w:val="0"/>
        <w:adjustRightInd/>
        <w:snapToGrid w:val="0"/>
        <w:spacing w:line="300" w:lineRule="auto"/>
        <w:ind w:firstLine="944" w:firstLineChars="295"/>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各部件的温升不超过NB/T 33001-2010 中6.4 的规定。</w:t>
      </w:r>
    </w:p>
    <w:p>
      <w:pPr>
        <w:keepNext w:val="0"/>
        <w:keepLines w:val="0"/>
        <w:pageBreakBefore w:val="0"/>
        <w:kinsoku/>
        <w:wordWrap/>
        <w:overflowPunct/>
        <w:topLinePunct w:val="0"/>
        <w:bidi w:val="0"/>
        <w:adjustRightInd/>
        <w:snapToGrid w:val="0"/>
        <w:spacing w:line="300" w:lineRule="auto"/>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7、 噪声要求</w:t>
      </w:r>
    </w:p>
    <w:p>
      <w:pPr>
        <w:keepNext w:val="0"/>
        <w:keepLines w:val="0"/>
        <w:pageBreakBefore w:val="0"/>
        <w:widowControl w:val="0"/>
        <w:kinsoku/>
        <w:wordWrap/>
        <w:overflowPunct/>
        <w:topLinePunct w:val="0"/>
        <w:autoSpaceDE w:val="0"/>
        <w:autoSpaceDN w:val="0"/>
        <w:bidi w:val="0"/>
        <w:adjustRightInd/>
        <w:snapToGrid w:val="0"/>
        <w:spacing w:line="300" w:lineRule="auto"/>
        <w:ind w:left="748" w:leftChars="338" w:hanging="38" w:hangingChars="12"/>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噪声小于等于60dB（距装置1m处）。</w:t>
      </w:r>
    </w:p>
    <w:p>
      <w:pPr>
        <w:keepNext w:val="0"/>
        <w:keepLines w:val="0"/>
        <w:pageBreakBefore w:val="0"/>
        <w:kinsoku/>
        <w:wordWrap/>
        <w:overflowPunct/>
        <w:topLinePunct w:val="0"/>
        <w:bidi w:val="0"/>
        <w:adjustRightInd/>
        <w:snapToGrid w:val="0"/>
        <w:spacing w:line="300" w:lineRule="auto"/>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8、 可靠性要求</w:t>
      </w:r>
    </w:p>
    <w:p>
      <w:pPr>
        <w:keepNext w:val="0"/>
        <w:keepLines w:val="0"/>
        <w:pageBreakBefore w:val="0"/>
        <w:widowControl w:val="0"/>
        <w:kinsoku/>
        <w:wordWrap/>
        <w:overflowPunct/>
        <w:topLinePunct w:val="0"/>
        <w:autoSpaceDE w:val="0"/>
        <w:autoSpaceDN w:val="0"/>
        <w:bidi w:val="0"/>
        <w:adjustRightInd/>
        <w:snapToGrid w:val="0"/>
        <w:spacing w:line="300" w:lineRule="auto"/>
        <w:ind w:left="748" w:leftChars="338" w:hanging="38" w:hangingChars="12"/>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平均故障间隔时间应大于等于87</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0H</w:t>
      </w:r>
    </w:p>
    <w:p>
      <w:pPr>
        <w:keepNext w:val="0"/>
        <w:keepLines w:val="0"/>
        <w:pageBreakBefore w:val="0"/>
        <w:kinsoku/>
        <w:wordWrap/>
        <w:overflowPunct/>
        <w:topLinePunct w:val="0"/>
        <w:bidi w:val="0"/>
        <w:adjustRightInd/>
        <w:snapToGrid w:val="0"/>
        <w:spacing w:line="300" w:lineRule="auto"/>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9、 安全防护功能</w:t>
      </w:r>
    </w:p>
    <w:p>
      <w:pPr>
        <w:keepNext w:val="0"/>
        <w:keepLines w:val="0"/>
        <w:pageBreakBefore w:val="0"/>
        <w:kinsoku/>
        <w:wordWrap/>
        <w:overflowPunct/>
        <w:topLinePunct w:val="0"/>
        <w:bidi w:val="0"/>
        <w:adjustRightInd/>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 交流桩应具有急停开关，即在紧急情况下，可切断充电回路；故障排除后，急停开关恢复后应能正常工作。</w:t>
      </w:r>
    </w:p>
    <w:p>
      <w:pPr>
        <w:keepNext w:val="0"/>
        <w:keepLines w:val="0"/>
        <w:pageBreakBefore w:val="0"/>
        <w:kinsoku/>
        <w:wordWrap/>
        <w:overflowPunct/>
        <w:topLinePunct w:val="0"/>
        <w:bidi w:val="0"/>
        <w:adjustRightInd/>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 应具备交流输入过/欠压保护、过负荷保护、短路保护、漏电保护、防雷保护、过热保护等保护功能：</w:t>
      </w:r>
    </w:p>
    <w:p>
      <w:pPr>
        <w:keepNext w:val="0"/>
        <w:keepLines w:val="0"/>
        <w:pageBreakBefore w:val="0"/>
        <w:kinsoku/>
        <w:wordWrap/>
        <w:overflowPunct/>
        <w:topLinePunct w:val="0"/>
        <w:bidi w:val="0"/>
        <w:adjustRightInd/>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a) 漏电保护：</w:t>
      </w:r>
      <w:r>
        <w:rPr>
          <w:rFonts w:hint="eastAsia" w:ascii="仿宋_GB2312" w:hAnsi="仿宋_GB2312" w:eastAsia="仿宋_GB2312" w:cs="仿宋_GB2312"/>
          <w:color w:val="auto"/>
          <w:sz w:val="32"/>
          <w:szCs w:val="32"/>
          <w:highlight w:val="none"/>
          <w:lang w:val="en-US" w:eastAsia="zh-CN"/>
        </w:rPr>
        <w:t>配置独立漏保开关，</w:t>
      </w:r>
      <w:r>
        <w:rPr>
          <w:rFonts w:hint="eastAsia" w:ascii="仿宋_GB2312" w:hAnsi="仿宋_GB2312" w:eastAsia="仿宋_GB2312" w:cs="仿宋_GB2312"/>
          <w:color w:val="auto"/>
          <w:sz w:val="32"/>
          <w:szCs w:val="32"/>
          <w:highlight w:val="none"/>
        </w:rPr>
        <w:t>漏电流≤30mA，动作时间不超过0.1s；</w:t>
      </w:r>
    </w:p>
    <w:p>
      <w:pPr>
        <w:keepNext w:val="0"/>
        <w:keepLines w:val="0"/>
        <w:pageBreakBefore w:val="0"/>
        <w:kinsoku/>
        <w:wordWrap/>
        <w:overflowPunct/>
        <w:topLinePunct w:val="0"/>
        <w:bidi w:val="0"/>
        <w:adjustRightInd/>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b) 输出短路保护：当输出端短接时，应停止输出，并报警提示；故障排除后，应能正常工作；</w:t>
      </w:r>
    </w:p>
    <w:p>
      <w:pPr>
        <w:keepNext w:val="0"/>
        <w:keepLines w:val="0"/>
        <w:pageBreakBefore w:val="0"/>
        <w:kinsoku/>
        <w:wordWrap/>
        <w:overflowPunct/>
        <w:topLinePunct w:val="0"/>
        <w:bidi w:val="0"/>
        <w:adjustRightInd/>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c) 防雷保护：有完善的雷击浪涌吸收电路，符合GB 50057-2010 建筑物防雷设计规范6.4.4规定的要求。</w:t>
      </w:r>
    </w:p>
    <w:p>
      <w:pPr>
        <w:keepNext w:val="0"/>
        <w:keepLines w:val="0"/>
        <w:pageBreakBefore w:val="0"/>
        <w:kinsoku/>
        <w:wordWrap/>
        <w:overflowPunct/>
        <w:topLinePunct w:val="0"/>
        <w:bidi w:val="0"/>
        <w:adjustRightInd/>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4) 充电过程中，充电连接异常时，充电桩应立即自动切断输出电源，并告警提示。</w:t>
      </w:r>
    </w:p>
    <w:p>
      <w:pPr>
        <w:keepNext w:val="0"/>
        <w:keepLines w:val="0"/>
        <w:pageBreakBefore w:val="0"/>
        <w:kinsoku/>
        <w:wordWrap/>
        <w:overflowPunct/>
        <w:topLinePunct w:val="0"/>
        <w:bidi w:val="0"/>
        <w:adjustRightInd/>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5) 应在负载紧急跳开的情况下确保不损坏电路和元器件；</w:t>
      </w:r>
    </w:p>
    <w:p>
      <w:pPr>
        <w:keepNext w:val="0"/>
        <w:keepLines w:val="0"/>
        <w:pageBreakBefore w:val="0"/>
        <w:kinsoku/>
        <w:wordWrap/>
        <w:overflowPunct/>
        <w:topLinePunct w:val="0"/>
        <w:bidi w:val="0"/>
        <w:adjustRightInd/>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6）交流桩输出侧应配置输出</w:t>
      </w:r>
      <w:r>
        <w:rPr>
          <w:rFonts w:hint="eastAsia" w:ascii="仿宋_GB2312" w:hAnsi="仿宋_GB2312" w:eastAsia="仿宋_GB2312" w:cs="仿宋_GB2312"/>
          <w:color w:val="auto"/>
          <w:sz w:val="32"/>
          <w:szCs w:val="32"/>
          <w:highlight w:val="none"/>
          <w:lang w:val="en-US" w:eastAsia="zh-CN"/>
        </w:rPr>
        <w:t>继电</w:t>
      </w:r>
      <w:r>
        <w:rPr>
          <w:rFonts w:hint="eastAsia" w:ascii="仿宋_GB2312" w:hAnsi="仿宋_GB2312" w:eastAsia="仿宋_GB2312" w:cs="仿宋_GB2312"/>
          <w:color w:val="auto"/>
          <w:sz w:val="32"/>
          <w:szCs w:val="32"/>
          <w:highlight w:val="none"/>
        </w:rPr>
        <w:t>器，</w:t>
      </w:r>
      <w:r>
        <w:rPr>
          <w:rFonts w:hint="eastAsia" w:ascii="仿宋_GB2312" w:hAnsi="仿宋_GB2312" w:eastAsia="仿宋_GB2312" w:cs="仿宋_GB2312"/>
          <w:color w:val="auto"/>
          <w:sz w:val="32"/>
          <w:szCs w:val="32"/>
          <w:highlight w:val="none"/>
          <w:lang w:val="en-US" w:eastAsia="zh-CN"/>
        </w:rPr>
        <w:t>单个继电器</w:t>
      </w:r>
      <w:r>
        <w:rPr>
          <w:rFonts w:hint="eastAsia" w:ascii="仿宋_GB2312" w:hAnsi="仿宋_GB2312" w:eastAsia="仿宋_GB2312" w:cs="仿宋_GB2312"/>
          <w:color w:val="auto"/>
          <w:sz w:val="32"/>
          <w:szCs w:val="32"/>
          <w:highlight w:val="none"/>
        </w:rPr>
        <w:t>过载电流应≥</w:t>
      </w:r>
      <w:r>
        <w:rPr>
          <w:rFonts w:hint="eastAsia" w:ascii="仿宋_GB2312" w:hAnsi="仿宋_GB2312" w:eastAsia="仿宋_GB2312" w:cs="仿宋_GB2312"/>
          <w:color w:val="auto"/>
          <w:sz w:val="32"/>
          <w:szCs w:val="32"/>
          <w:highlight w:val="none"/>
          <w:lang w:val="en-US" w:eastAsia="zh-CN"/>
        </w:rPr>
        <w:t>50</w:t>
      </w:r>
      <w:r>
        <w:rPr>
          <w:rFonts w:hint="eastAsia" w:ascii="仿宋_GB2312" w:hAnsi="仿宋_GB2312" w:eastAsia="仿宋_GB2312" w:cs="仿宋_GB2312"/>
          <w:color w:val="auto"/>
          <w:sz w:val="32"/>
          <w:szCs w:val="32"/>
          <w:highlight w:val="none"/>
        </w:rPr>
        <w:t>A。</w:t>
      </w:r>
    </w:p>
    <w:p>
      <w:pPr>
        <w:pStyle w:val="2"/>
        <w:bidi w:val="0"/>
        <w:rPr>
          <w:rFonts w:hint="eastAsia" w:ascii="仿宋_GB2312" w:hAnsi="仿宋_GB2312" w:eastAsia="仿宋_GB2312" w:cs="仿宋_GB2312"/>
          <w:color w:val="auto"/>
          <w:sz w:val="32"/>
          <w:szCs w:val="32"/>
          <w:highlight w:val="none"/>
        </w:rPr>
      </w:pPr>
      <w:bookmarkStart w:id="8" w:name="_Toc98411313"/>
      <w:r>
        <w:rPr>
          <w:rFonts w:hint="eastAsia" w:ascii="仿宋_GB2312" w:hAnsi="仿宋_GB2312" w:eastAsia="仿宋_GB2312" w:cs="仿宋_GB2312"/>
          <w:color w:val="auto"/>
          <w:sz w:val="32"/>
          <w:szCs w:val="32"/>
          <w:highlight w:val="none"/>
        </w:rPr>
        <w:t>外观及结构设计要求</w:t>
      </w:r>
      <w:bookmarkEnd w:id="8"/>
    </w:p>
    <w:p>
      <w:pPr>
        <w:keepNext w:val="0"/>
        <w:keepLines w:val="0"/>
        <w:pageBreakBefore w:val="0"/>
        <w:widowControl/>
        <w:kinsoku/>
        <w:wordWrap/>
        <w:overflowPunct/>
        <w:topLinePunct w:val="0"/>
        <w:autoSpaceDE/>
        <w:autoSpaceDN/>
        <w:bidi w:val="0"/>
        <w:adjustRightInd w:val="0"/>
        <w:snapToGrid w:val="0"/>
        <w:spacing w:line="300" w:lineRule="auto"/>
        <w:ind w:firstLine="643"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lang w:val="en-US" w:eastAsia="zh-CN"/>
        </w:rPr>
        <w:t>1、外观尺寸及整体结构</w:t>
      </w:r>
    </w:p>
    <w:p>
      <w:pPr>
        <w:keepNext w:val="0"/>
        <w:keepLines w:val="0"/>
        <w:pageBreakBefore w:val="0"/>
        <w:widowControl/>
        <w:kinsoku/>
        <w:wordWrap/>
        <w:overflowPunct/>
        <w:topLinePunct w:val="0"/>
        <w:autoSpaceDE/>
        <w:autoSpaceDN/>
        <w:bidi w:val="0"/>
        <w:adjustRightInd w:val="0"/>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）交流桩应采用防盗设计，桩体配置螺栓和安装背板之间固定。</w:t>
      </w:r>
      <w:r>
        <w:rPr>
          <w:rFonts w:hint="eastAsia" w:ascii="仿宋_GB2312" w:hAnsi="仿宋_GB2312" w:eastAsia="仿宋_GB2312" w:cs="仿宋_GB2312"/>
          <w:color w:val="auto"/>
          <w:sz w:val="32"/>
          <w:szCs w:val="32"/>
          <w:highlight w:val="none"/>
        </w:rPr>
        <w:tab/>
      </w:r>
    </w:p>
    <w:p>
      <w:pPr>
        <w:keepNext w:val="0"/>
        <w:keepLines w:val="0"/>
        <w:pageBreakBefore w:val="0"/>
        <w:widowControl/>
        <w:kinsoku/>
        <w:wordWrap/>
        <w:overflowPunct/>
        <w:topLinePunct w:val="0"/>
        <w:autoSpaceDE/>
        <w:autoSpaceDN/>
        <w:bidi w:val="0"/>
        <w:adjustRightInd w:val="0"/>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）交流桩本体侧面应配置有急停开关。</w:t>
      </w:r>
    </w:p>
    <w:p>
      <w:pPr>
        <w:keepNext w:val="0"/>
        <w:keepLines w:val="0"/>
        <w:pageBreakBefore w:val="0"/>
        <w:widowControl/>
        <w:kinsoku/>
        <w:wordWrap/>
        <w:overflowPunct/>
        <w:topLinePunct w:val="0"/>
        <w:autoSpaceDE/>
        <w:autoSpaceDN/>
        <w:bidi w:val="0"/>
        <w:adjustRightInd w:val="0"/>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）交流桩壳体应配置计量检定接口、通讯接口、维修调试接口。</w:t>
      </w:r>
    </w:p>
    <w:p>
      <w:pPr>
        <w:keepNext w:val="0"/>
        <w:keepLines w:val="0"/>
        <w:pageBreakBefore w:val="0"/>
        <w:widowControl/>
        <w:kinsoku/>
        <w:wordWrap/>
        <w:overflowPunct/>
        <w:topLinePunct w:val="0"/>
        <w:autoSpaceDE/>
        <w:autoSpaceDN/>
        <w:bidi w:val="0"/>
        <w:adjustRightInd w:val="0"/>
        <w:snapToGrid w:val="0"/>
        <w:spacing w:line="300" w:lineRule="auto"/>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2、涂层及材料要求</w:t>
      </w:r>
    </w:p>
    <w:p>
      <w:pPr>
        <w:keepNext w:val="0"/>
        <w:keepLines w:val="0"/>
        <w:pageBreakBefore w:val="0"/>
        <w:widowControl/>
        <w:kinsoku/>
        <w:wordWrap/>
        <w:overflowPunct/>
        <w:topLinePunct w:val="0"/>
        <w:autoSpaceDE/>
        <w:autoSpaceDN/>
        <w:bidi w:val="0"/>
        <w:adjustRightInd w:val="0"/>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1）涂层外观</w:t>
      </w:r>
    </w:p>
    <w:p>
      <w:pPr>
        <w:keepNext w:val="0"/>
        <w:keepLines w:val="0"/>
        <w:pageBreakBefore w:val="0"/>
        <w:widowControl/>
        <w:kinsoku/>
        <w:wordWrap/>
        <w:overflowPunct/>
        <w:topLinePunct w:val="0"/>
        <w:autoSpaceDE/>
        <w:autoSpaceDN/>
        <w:bidi w:val="0"/>
        <w:adjustRightInd w:val="0"/>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整体表面应平整无外露锐角，涂层表面应连续、均匀，纹理与相应的标准样板保持一致，且无结瘤、缩孔、起泡、针孔、开裂、剥落、粉化、颗粒、流挂、露底、夹杂脏物等缺陷。</w:t>
      </w:r>
    </w:p>
    <w:p>
      <w:pPr>
        <w:keepNext w:val="0"/>
        <w:keepLines w:val="0"/>
        <w:pageBreakBefore w:val="0"/>
        <w:widowControl/>
        <w:kinsoku/>
        <w:wordWrap/>
        <w:overflowPunct/>
        <w:topLinePunct w:val="0"/>
        <w:autoSpaceDE/>
        <w:autoSpaceDN/>
        <w:bidi w:val="0"/>
        <w:adjustRightInd w:val="0"/>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交流桩壳体应采用</w:t>
      </w:r>
      <w:r>
        <w:rPr>
          <w:rFonts w:hint="eastAsia" w:ascii="仿宋_GB2312" w:hAnsi="仿宋_GB2312" w:eastAsia="仿宋_GB2312" w:cs="仿宋_GB2312"/>
          <w:color w:val="auto"/>
          <w:sz w:val="32"/>
          <w:szCs w:val="32"/>
          <w:highlight w:val="none"/>
          <w:lang w:val="en-US" w:eastAsia="zh-CN"/>
        </w:rPr>
        <w:t>金属</w:t>
      </w:r>
      <w:r>
        <w:rPr>
          <w:rFonts w:hint="eastAsia" w:ascii="仿宋_GB2312" w:hAnsi="仿宋_GB2312" w:eastAsia="仿宋_GB2312" w:cs="仿宋_GB2312"/>
          <w:color w:val="auto"/>
          <w:sz w:val="32"/>
          <w:szCs w:val="32"/>
          <w:highlight w:val="none"/>
        </w:rPr>
        <w:t>材质</w:t>
      </w:r>
      <w:r>
        <w:rPr>
          <w:rFonts w:hint="eastAsia" w:ascii="仿宋_GB2312" w:hAnsi="仿宋_GB2312" w:eastAsia="仿宋_GB2312" w:cs="仿宋_GB2312"/>
          <w:color w:val="auto"/>
          <w:sz w:val="32"/>
          <w:szCs w:val="32"/>
          <w:highlight w:val="none"/>
          <w:lang w:val="en-US" w:eastAsia="zh-CN"/>
        </w:rPr>
        <w:t>或PC塑料材质</w:t>
      </w:r>
      <w:r>
        <w:rPr>
          <w:rFonts w:hint="eastAsia" w:ascii="仿宋_GB2312" w:hAnsi="仿宋_GB2312" w:eastAsia="仿宋_GB2312" w:cs="仿宋_GB2312"/>
          <w:color w:val="auto"/>
          <w:sz w:val="32"/>
          <w:szCs w:val="32"/>
          <w:highlight w:val="none"/>
        </w:rPr>
        <w:t>，厚度不小于1.2mm，用于充电设备的金属材料，在经过或未经过表面处理后，均应具备抵抗腐蚀及电化学反应的能力。</w:t>
      </w:r>
    </w:p>
    <w:p>
      <w:pPr>
        <w:keepNext w:val="0"/>
        <w:keepLines w:val="0"/>
        <w:pageBreakBefore w:val="0"/>
        <w:widowControl/>
        <w:kinsoku/>
        <w:wordWrap/>
        <w:overflowPunct/>
        <w:topLinePunct w:val="0"/>
        <w:autoSpaceDE/>
        <w:autoSpaceDN/>
        <w:bidi w:val="0"/>
        <w:adjustRightInd w:val="0"/>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3）非金属材料零部件（包括绝缘电线、电缆和发泡材料）应为非延燃材料，其燃烧性应能通过阻燃试验的要求。</w:t>
      </w:r>
    </w:p>
    <w:p>
      <w:pPr>
        <w:keepNext w:val="0"/>
        <w:keepLines w:val="0"/>
        <w:pageBreakBefore w:val="0"/>
        <w:widowControl/>
        <w:kinsoku/>
        <w:wordWrap/>
        <w:overflowPunct/>
        <w:topLinePunct w:val="0"/>
        <w:autoSpaceDE/>
        <w:autoSpaceDN/>
        <w:bidi w:val="0"/>
        <w:adjustRightInd w:val="0"/>
        <w:snapToGrid w:val="0"/>
        <w:spacing w:line="300" w:lineRule="auto"/>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3、 关键器件配置要求</w:t>
      </w:r>
    </w:p>
    <w:p>
      <w:pPr>
        <w:keepNext w:val="0"/>
        <w:keepLines w:val="0"/>
        <w:pageBreakBefore w:val="0"/>
        <w:widowControl/>
        <w:kinsoku/>
        <w:wordWrap/>
        <w:overflowPunct/>
        <w:topLinePunct w:val="0"/>
        <w:autoSpaceDE/>
        <w:autoSpaceDN/>
        <w:bidi w:val="0"/>
        <w:adjustRightInd w:val="0"/>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关键电气器件包括：电能计量装置、显示屏、充电枪等，以上器件应符合要求。</w:t>
      </w:r>
    </w:p>
    <w:p>
      <w:pPr>
        <w:keepNext w:val="0"/>
        <w:keepLines w:val="0"/>
        <w:pageBreakBefore w:val="0"/>
        <w:widowControl/>
        <w:kinsoku/>
        <w:wordWrap/>
        <w:overflowPunct/>
        <w:topLinePunct w:val="0"/>
        <w:autoSpaceDE/>
        <w:autoSpaceDN/>
        <w:bidi w:val="0"/>
        <w:adjustRightInd w:val="0"/>
        <w:snapToGrid w:val="0"/>
        <w:spacing w:line="300" w:lineRule="auto"/>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4、 标识标志要求</w:t>
      </w:r>
    </w:p>
    <w:p>
      <w:pPr>
        <w:keepNext w:val="0"/>
        <w:keepLines w:val="0"/>
        <w:pageBreakBefore w:val="0"/>
        <w:widowControl/>
        <w:kinsoku/>
        <w:wordWrap/>
        <w:overflowPunct/>
        <w:topLinePunct w:val="0"/>
        <w:autoSpaceDE/>
        <w:autoSpaceDN/>
        <w:bidi w:val="0"/>
        <w:adjustRightInd w:val="0"/>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 在交流桩醒目位置标识相关操作的说明文字及图形。</w:t>
      </w:r>
    </w:p>
    <w:p>
      <w:pPr>
        <w:keepNext w:val="0"/>
        <w:keepLines w:val="0"/>
        <w:pageBreakBefore w:val="0"/>
        <w:widowControl/>
        <w:kinsoku/>
        <w:wordWrap/>
        <w:overflowPunct/>
        <w:topLinePunct w:val="0"/>
        <w:autoSpaceDE/>
        <w:autoSpaceDN/>
        <w:bidi w:val="0"/>
        <w:adjustRightInd w:val="0"/>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 标志标识（含铭牌）应端正牢固，字迹清晰。</w:t>
      </w:r>
    </w:p>
    <w:p>
      <w:pPr>
        <w:keepNext w:val="0"/>
        <w:keepLines w:val="0"/>
        <w:pageBreakBefore w:val="0"/>
        <w:widowControl/>
        <w:kinsoku/>
        <w:wordWrap/>
        <w:overflowPunct/>
        <w:topLinePunct w:val="0"/>
        <w:autoSpaceDE/>
        <w:autoSpaceDN/>
        <w:bidi w:val="0"/>
        <w:adjustRightInd w:val="0"/>
        <w:snapToGrid w:val="0"/>
        <w:spacing w:line="300" w:lineRule="auto"/>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5、其他要求</w:t>
      </w:r>
    </w:p>
    <w:p>
      <w:pPr>
        <w:keepNext w:val="0"/>
        <w:keepLines w:val="0"/>
        <w:pageBreakBefore w:val="0"/>
        <w:widowControl/>
        <w:kinsoku/>
        <w:wordWrap/>
        <w:overflowPunct/>
        <w:topLinePunct w:val="0"/>
        <w:autoSpaceDE/>
        <w:autoSpaceDN/>
        <w:bidi w:val="0"/>
        <w:adjustRightInd w:val="0"/>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1）应能保证相应设备顺利安装和便于日常维护操作。</w:t>
      </w:r>
    </w:p>
    <w:p>
      <w:pPr>
        <w:keepNext w:val="0"/>
        <w:keepLines w:val="0"/>
        <w:pageBreakBefore w:val="0"/>
        <w:widowControl/>
        <w:kinsoku/>
        <w:wordWrap/>
        <w:overflowPunct/>
        <w:topLinePunct w:val="0"/>
        <w:autoSpaceDE/>
        <w:autoSpaceDN/>
        <w:bidi w:val="0"/>
        <w:adjustRightInd w:val="0"/>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2）应配置进出线留的足够空间。</w:t>
      </w:r>
    </w:p>
    <w:p>
      <w:pPr>
        <w:keepNext w:val="0"/>
        <w:keepLines w:val="0"/>
        <w:pageBreakBefore w:val="0"/>
        <w:widowControl/>
        <w:kinsoku/>
        <w:wordWrap/>
        <w:overflowPunct/>
        <w:topLinePunct w:val="0"/>
        <w:autoSpaceDE/>
        <w:autoSpaceDN/>
        <w:bidi w:val="0"/>
        <w:adjustRightInd w:val="0"/>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3）过线区应预留足够的过线容量以满足交流桩满配的接线操作要求。</w:t>
      </w:r>
    </w:p>
    <w:p>
      <w:pPr>
        <w:keepNext w:val="0"/>
        <w:keepLines w:val="0"/>
        <w:pageBreakBefore w:val="0"/>
        <w:widowControl/>
        <w:kinsoku/>
        <w:wordWrap/>
        <w:overflowPunct/>
        <w:topLinePunct w:val="0"/>
        <w:autoSpaceDE/>
        <w:autoSpaceDN/>
        <w:bidi w:val="0"/>
        <w:adjustRightInd w:val="0"/>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4）过线区应考虑线缆引入、固定和接地时操作的便利性、可更换性和可扩容性，线缆引入孔处应进行密封，防止水和龃齿类动物进入交流桩。</w:t>
      </w:r>
      <w:r>
        <w:rPr>
          <w:rFonts w:hint="eastAsia" w:ascii="仿宋_GB2312" w:hAnsi="仿宋_GB2312" w:eastAsia="仿宋_GB2312" w:cs="仿宋_GB2312"/>
          <w:color w:val="auto"/>
          <w:sz w:val="32"/>
          <w:szCs w:val="32"/>
          <w:highlight w:val="none"/>
          <w:lang w:val="en-US" w:eastAsia="zh-CN"/>
        </w:rPr>
        <w:t xml:space="preserve"> </w:t>
      </w:r>
    </w:p>
    <w:p>
      <w:pPr>
        <w:keepNext w:val="0"/>
        <w:keepLines w:val="0"/>
        <w:pageBreakBefore w:val="0"/>
        <w:widowControl/>
        <w:kinsoku/>
        <w:wordWrap/>
        <w:overflowPunct/>
        <w:topLinePunct w:val="0"/>
        <w:autoSpaceDE/>
        <w:autoSpaceDN/>
        <w:bidi w:val="0"/>
        <w:adjustRightInd w:val="0"/>
        <w:snapToGrid w:val="0"/>
        <w:spacing w:line="300" w:lineRule="auto"/>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6、 机械强度要求</w:t>
      </w:r>
    </w:p>
    <w:p>
      <w:pPr>
        <w:keepNext w:val="0"/>
        <w:keepLines w:val="0"/>
        <w:pageBreakBefore w:val="0"/>
        <w:widowControl/>
        <w:kinsoku/>
        <w:wordWrap/>
        <w:overflowPunct/>
        <w:topLinePunct w:val="0"/>
        <w:autoSpaceDE/>
        <w:autoSpaceDN/>
        <w:bidi w:val="0"/>
        <w:adjustRightInd w:val="0"/>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充电桩的壳体在运输或承受冲击载荷后，性能和防护等级应没有降低；门的操作和锁止点应没有受损；不因永久或暂时变形而使带电部分和外壳相接触，不应破坏充电桩电气绝缘性能。</w:t>
      </w:r>
    </w:p>
    <w:p>
      <w:pPr>
        <w:pStyle w:val="2"/>
        <w:bidi w:val="0"/>
        <w:rPr>
          <w:rFonts w:hint="eastAsia" w:ascii="仿宋_GB2312" w:hAnsi="仿宋_GB2312" w:eastAsia="仿宋_GB2312" w:cs="仿宋_GB2312"/>
          <w:color w:val="auto"/>
          <w:sz w:val="32"/>
          <w:szCs w:val="32"/>
          <w:highlight w:val="none"/>
          <w:lang w:val="en-US" w:eastAsia="zh-CN"/>
        </w:rPr>
      </w:pPr>
      <w:bookmarkStart w:id="9" w:name="_Toc98411314"/>
      <w:r>
        <w:rPr>
          <w:rFonts w:hint="eastAsia" w:ascii="仿宋_GB2312" w:hAnsi="仿宋_GB2312" w:eastAsia="仿宋_GB2312" w:cs="仿宋_GB2312"/>
          <w:color w:val="auto"/>
          <w:sz w:val="32"/>
          <w:szCs w:val="32"/>
          <w:highlight w:val="none"/>
          <w:lang w:val="en-US" w:eastAsia="zh-CN"/>
        </w:rPr>
        <w:t xml:space="preserve"> 其它功能要求（</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kinsoku/>
        <w:wordWrap/>
        <w:overflowPunct/>
        <w:topLinePunct w:val="0"/>
        <w:bidi w:val="0"/>
        <w:adjustRightInd/>
        <w:snapToGrid w:val="0"/>
        <w:spacing w:line="300" w:lineRule="auto"/>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1、信息交互功能</w:t>
      </w:r>
      <w:bookmarkEnd w:id="9"/>
    </w:p>
    <w:p>
      <w:pPr>
        <w:keepNext w:val="0"/>
        <w:keepLines w:val="0"/>
        <w:pageBreakBefore w:val="0"/>
        <w:numPr>
          <w:ilvl w:val="0"/>
          <w:numId w:val="0"/>
        </w:numPr>
        <w:kinsoku/>
        <w:wordWrap/>
        <w:overflowPunct/>
        <w:topLinePunct w:val="0"/>
        <w:bidi w:val="0"/>
        <w:adjustRightInd/>
        <w:snapToGrid w:val="0"/>
        <w:spacing w:line="30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lang w:val="en-US" w:eastAsia="zh-CN" w:bidi="ar-SA"/>
        </w:rPr>
        <w:t>1)</w:t>
      </w:r>
      <w:r>
        <w:rPr>
          <w:rFonts w:hint="eastAsia" w:ascii="仿宋_GB2312" w:hAnsi="仿宋_GB2312" w:eastAsia="仿宋_GB2312" w:cs="仿宋_GB2312"/>
          <w:color w:val="auto"/>
          <w:sz w:val="32"/>
          <w:szCs w:val="32"/>
          <w:highlight w:val="none"/>
        </w:rPr>
        <w:t>充电桩配置4G模块实现无线通讯并预留RJ45以太网接口，实现充电桩与后台监控管理系统之间的信息交互。为保证系统稳定性，充电桩主控制器和4G通信模块必须为同一厂家研发生产。</w:t>
      </w:r>
    </w:p>
    <w:p>
      <w:pPr>
        <w:keepNext w:val="0"/>
        <w:keepLines w:val="0"/>
        <w:pageBreakBefore w:val="0"/>
        <w:kinsoku/>
        <w:wordWrap/>
        <w:overflowPunct/>
        <w:topLinePunct w:val="0"/>
        <w:bidi w:val="0"/>
        <w:adjustRightInd/>
        <w:snapToGrid w:val="0"/>
        <w:spacing w:line="300" w:lineRule="auto"/>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2、扩展功能</w:t>
      </w:r>
    </w:p>
    <w:p>
      <w:pPr>
        <w:keepNext w:val="0"/>
        <w:keepLines w:val="0"/>
        <w:pageBreakBefore w:val="0"/>
        <w:widowControl w:val="0"/>
        <w:tabs>
          <w:tab w:val="left" w:pos="0"/>
        </w:tabs>
        <w:kinsoku/>
        <w:wordWrap/>
        <w:overflowPunct/>
        <w:topLinePunct w:val="0"/>
        <w:bidi w:val="0"/>
        <w:adjustRightInd/>
        <w:snapToGrid w:val="0"/>
        <w:spacing w:line="300" w:lineRule="auto"/>
        <w:ind w:firstLine="640" w:firstLineChars="200"/>
        <w:textAlignment w:val="auto"/>
        <w:rPr>
          <w:rFonts w:hint="default" w:eastAsia="宋体"/>
          <w:highlight w:val="none"/>
          <w:lang w:val="en-US" w:eastAsia="zh-CN"/>
        </w:rPr>
      </w:pPr>
      <w:r>
        <w:rPr>
          <w:rFonts w:hint="eastAsia" w:ascii="仿宋_GB2312" w:hAnsi="仿宋_GB2312" w:eastAsia="仿宋_GB2312" w:cs="仿宋_GB2312"/>
          <w:color w:val="auto"/>
          <w:sz w:val="32"/>
          <w:szCs w:val="32"/>
          <w:highlight w:val="none"/>
          <w:lang w:bidi="ar"/>
        </w:rPr>
        <w:t>为适应特定场景用户的需求，所供交流充电桩设备应</w:t>
      </w:r>
      <w:r>
        <w:rPr>
          <w:rFonts w:hint="eastAsia" w:ascii="仿宋_GB2312" w:hAnsi="仿宋_GB2312" w:eastAsia="仿宋_GB2312" w:cs="仿宋_GB2312"/>
          <w:color w:val="auto"/>
          <w:sz w:val="32"/>
          <w:szCs w:val="32"/>
          <w:highlight w:val="none"/>
          <w:lang w:val="en-US" w:eastAsia="zh-CN" w:bidi="ar"/>
        </w:rPr>
        <w:t>支持</w:t>
      </w:r>
      <w:r>
        <w:rPr>
          <w:rFonts w:hint="eastAsia" w:ascii="仿宋_GB2312" w:hAnsi="仿宋_GB2312" w:eastAsia="仿宋_GB2312" w:cs="仿宋_GB2312"/>
          <w:color w:val="auto"/>
          <w:sz w:val="32"/>
          <w:szCs w:val="32"/>
          <w:highlight w:val="none"/>
          <w:lang w:bidi="ar"/>
        </w:rPr>
        <w:t>预留扩展地锁功能，车牌识别功能，无需更换</w:t>
      </w:r>
      <w:r>
        <w:rPr>
          <w:rFonts w:hint="eastAsia" w:ascii="仿宋_GB2312" w:hAnsi="仿宋_GB2312" w:eastAsia="仿宋_GB2312" w:cs="仿宋_GB2312"/>
          <w:color w:val="auto"/>
          <w:sz w:val="32"/>
          <w:szCs w:val="32"/>
          <w:highlight w:val="none"/>
          <w:lang w:val="en-US" w:eastAsia="zh-CN" w:bidi="ar"/>
        </w:rPr>
        <w:t>充电桩</w:t>
      </w:r>
      <w:r>
        <w:rPr>
          <w:rFonts w:hint="eastAsia" w:ascii="仿宋_GB2312" w:hAnsi="仿宋_GB2312" w:eastAsia="仿宋_GB2312" w:cs="仿宋_GB2312"/>
          <w:color w:val="auto"/>
          <w:sz w:val="32"/>
          <w:szCs w:val="32"/>
          <w:highlight w:val="none"/>
          <w:lang w:bidi="ar"/>
        </w:rPr>
        <w:t>设备。</w:t>
      </w:r>
    </w:p>
    <w:p>
      <w:pPr>
        <w:keepNext w:val="0"/>
        <w:keepLines w:val="0"/>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bCs/>
          <w:sz w:val="32"/>
          <w:szCs w:val="32"/>
          <w:lang w:val="zh-CN" w:bidi="ar"/>
        </w:rPr>
      </w:pPr>
      <w:r>
        <w:rPr>
          <w:rFonts w:hint="eastAsia" w:ascii="仿宋_GB2312" w:hAnsi="仿宋_GB2312" w:eastAsia="仿宋_GB2312" w:cs="仿宋_GB2312"/>
          <w:bCs/>
          <w:sz w:val="32"/>
          <w:szCs w:val="32"/>
          <w:lang w:val="zh-CN" w:bidi="ar"/>
        </w:rPr>
        <w:t>（二）项目实施要求</w:t>
      </w:r>
    </w:p>
    <w:p>
      <w:pPr>
        <w:keepNext w:val="0"/>
        <w:keepLines w:val="0"/>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bCs/>
          <w:sz w:val="32"/>
          <w:szCs w:val="32"/>
          <w:highlight w:val="none"/>
          <w:lang w:val="en-US" w:eastAsia="zh-CN" w:bidi="ar"/>
        </w:rPr>
      </w:pPr>
      <w:r>
        <w:rPr>
          <w:rFonts w:hint="eastAsia" w:ascii="仿宋_GB2312" w:hAnsi="仿宋_GB2312" w:eastAsia="仿宋_GB2312" w:cs="仿宋_GB2312"/>
          <w:bCs/>
          <w:sz w:val="32"/>
          <w:szCs w:val="32"/>
          <w:highlight w:val="none"/>
          <w:lang w:val="en-US" w:eastAsia="zh-CN" w:bidi="ar"/>
        </w:rPr>
        <w:t>1.合作模式：服务商负责全额带资建设智能充电桩（含配电系统）及其附属配套（如地面恢复、灭火装置、安全用电警示标示等），提供智能充电桩相应配套运营服务，医院无需支付任何费用。</w:t>
      </w:r>
    </w:p>
    <w:p>
      <w:pPr>
        <w:keepNext w:val="0"/>
        <w:keepLines w:val="0"/>
        <w:pageBreakBefore w:val="0"/>
        <w:kinsoku/>
        <w:wordWrap/>
        <w:overflowPunct/>
        <w:topLinePunct w:val="0"/>
        <w:bidi w:val="0"/>
        <w:snapToGrid/>
        <w:spacing w:line="560" w:lineRule="exact"/>
        <w:ind w:firstLine="640" w:firstLineChars="200"/>
        <w:textAlignment w:val="auto"/>
        <w:rPr>
          <w:rFonts w:hint="default" w:ascii="仿宋_GB2312" w:hAnsi="仿宋_GB2312" w:eastAsia="仿宋_GB2312" w:cs="仿宋_GB2312"/>
          <w:bCs/>
          <w:sz w:val="32"/>
          <w:szCs w:val="32"/>
          <w:highlight w:val="none"/>
          <w:lang w:val="en-US" w:eastAsia="zh-CN" w:bidi="ar"/>
        </w:rPr>
      </w:pPr>
      <w:r>
        <w:rPr>
          <w:rFonts w:hint="eastAsia" w:ascii="仿宋_GB2312" w:hAnsi="仿宋_GB2312" w:eastAsia="仿宋_GB2312" w:cs="仿宋_GB2312"/>
          <w:bCs/>
          <w:sz w:val="32"/>
          <w:szCs w:val="32"/>
          <w:highlight w:val="none"/>
          <w:lang w:val="en-US" w:eastAsia="zh-CN" w:bidi="ar"/>
        </w:rPr>
        <w:t>2.合作服务期限：5年，一年一签。</w:t>
      </w:r>
    </w:p>
    <w:p>
      <w:pPr>
        <w:numPr>
          <w:ilvl w:val="-1"/>
          <w:numId w:val="0"/>
        </w:numPr>
        <w:spacing w:line="360" w:lineRule="auto"/>
        <w:ind w:left="0" w:firstLine="640" w:firstLineChars="200"/>
        <w:rPr>
          <w:rFonts w:ascii="宋体" w:hAnsi="宋体" w:cs="宋体"/>
          <w:b/>
          <w:bCs w:val="0"/>
          <w:sz w:val="28"/>
          <w:szCs w:val="28"/>
        </w:rPr>
      </w:pPr>
      <w:r>
        <w:rPr>
          <w:rFonts w:hint="eastAsia" w:ascii="仿宋_GB2312" w:hAnsi="仿宋_GB2312" w:eastAsia="仿宋_GB2312" w:cs="仿宋_GB2312"/>
          <w:bCs/>
          <w:sz w:val="32"/>
          <w:szCs w:val="32"/>
          <w:highlight w:val="none"/>
          <w:lang w:val="en-US" w:eastAsia="zh-CN" w:bidi="ar"/>
        </w:rPr>
        <w:t>3.收费模式：</w:t>
      </w:r>
      <w:r>
        <w:rPr>
          <w:rFonts w:hint="eastAsia" w:ascii="仿宋_GB2312" w:hAnsi="仿宋_GB2312" w:eastAsia="仿宋_GB2312" w:cs="仿宋_GB2312"/>
          <w:bCs/>
          <w:color w:val="auto"/>
          <w:sz w:val="32"/>
          <w:szCs w:val="32"/>
          <w:highlight w:val="none"/>
          <w:lang w:val="en-US" w:eastAsia="zh-CN" w:bidi="ar"/>
        </w:rPr>
        <w:t>除基础电费以供电局实际收费为准外，双方享有运营收益分成。如电价变更，则双方另行协商。</w:t>
      </w:r>
      <w:r>
        <w:rPr>
          <w:rFonts w:hint="eastAsia" w:ascii="仿宋_GB2312" w:hAnsi="仿宋_GB2312" w:eastAsia="仿宋_GB2312" w:cs="仿宋_GB2312"/>
          <w:bCs/>
          <w:sz w:val="32"/>
          <w:szCs w:val="32"/>
          <w:highlight w:val="none"/>
          <w:lang w:val="en-US" w:eastAsia="zh-CN" w:bidi="ar"/>
        </w:rPr>
        <w:t>医院有权了解系统的应用程序、操作原理及计费情况，以便监管，保证计费的科学合理，服务商应配合医院的需求如实提供。</w:t>
      </w:r>
    </w:p>
    <w:p>
      <w:pPr>
        <w:keepNext w:val="0"/>
        <w:keepLines w:val="0"/>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bCs/>
          <w:sz w:val="32"/>
          <w:szCs w:val="32"/>
          <w:highlight w:val="none"/>
          <w:lang w:val="en-US" w:eastAsia="zh-CN" w:bidi="ar"/>
        </w:rPr>
      </w:pPr>
      <w:r>
        <w:rPr>
          <w:rFonts w:hint="eastAsia" w:ascii="仿宋_GB2312" w:hAnsi="仿宋_GB2312" w:eastAsia="仿宋_GB2312" w:cs="仿宋_GB2312"/>
          <w:bCs/>
          <w:sz w:val="32"/>
          <w:szCs w:val="32"/>
          <w:highlight w:val="none"/>
          <w:lang w:val="en-US" w:eastAsia="zh-CN" w:bidi="ar"/>
        </w:rPr>
        <w:t>4.履约保证函： 服务商需向医院提交</w:t>
      </w:r>
      <w:r>
        <w:commentReference w:id="0"/>
      </w:r>
      <w:r>
        <w:rPr>
          <w:rFonts w:hint="eastAsia" w:ascii="仿宋_GB2312" w:hAnsi="仿宋_GB2312" w:eastAsia="仿宋_GB2312" w:cs="仿宋_GB2312"/>
          <w:bCs/>
          <w:sz w:val="32"/>
          <w:szCs w:val="32"/>
          <w:highlight w:val="none"/>
          <w:lang w:val="en-US" w:eastAsia="zh-CN" w:bidi="ar"/>
        </w:rPr>
        <w:t>5</w:t>
      </w:r>
      <w:r>
        <w:rPr>
          <w:rFonts w:hint="eastAsia" w:ascii="仿宋_GB2312" w:hAnsi="仿宋_GB2312" w:eastAsia="仿宋_GB2312" w:cs="仿宋_GB2312"/>
          <w:bCs/>
          <w:sz w:val="32"/>
          <w:szCs w:val="32"/>
          <w:highlight w:val="yellow"/>
          <w:lang w:val="en-US" w:eastAsia="zh-CN" w:bidi="ar"/>
        </w:rPr>
        <w:t>万元履约</w:t>
      </w:r>
      <w:r>
        <w:rPr>
          <w:rFonts w:hint="eastAsia" w:ascii="仿宋_GB2312" w:hAnsi="仿宋_GB2312" w:eastAsia="仿宋_GB2312" w:cs="仿宋_GB2312"/>
          <w:bCs/>
          <w:sz w:val="32"/>
          <w:szCs w:val="32"/>
          <w:highlight w:val="none"/>
          <w:lang w:val="en-US" w:eastAsia="zh-CN" w:bidi="ar"/>
        </w:rPr>
        <w:t>保函。该保函的有效期从项目合同签订后生效之日起到服务期结束。</w:t>
      </w:r>
    </w:p>
    <w:p>
      <w:pPr>
        <w:keepNext w:val="0"/>
        <w:keepLines w:val="0"/>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bCs/>
          <w:sz w:val="32"/>
          <w:szCs w:val="32"/>
          <w:highlight w:val="none"/>
          <w:lang w:val="en-US" w:eastAsia="zh-CN" w:bidi="ar"/>
        </w:rPr>
      </w:pPr>
      <w:r>
        <w:rPr>
          <w:rFonts w:hint="eastAsia" w:ascii="仿宋_GB2312" w:hAnsi="仿宋_GB2312" w:eastAsia="仿宋_GB2312" w:cs="仿宋_GB2312"/>
          <w:bCs/>
          <w:color w:val="auto"/>
          <w:sz w:val="32"/>
          <w:szCs w:val="32"/>
          <w:highlight w:val="none"/>
          <w:lang w:val="en-US" w:eastAsia="zh-CN" w:bidi="ar"/>
        </w:rPr>
        <w:t>配电系统需安装计量电表。</w:t>
      </w:r>
      <w:r>
        <w:rPr>
          <w:rFonts w:hint="eastAsia" w:ascii="仿宋_GB2312" w:hAnsi="仿宋_GB2312" w:eastAsia="仿宋_GB2312" w:cs="仿宋_GB2312"/>
          <w:bCs/>
          <w:sz w:val="32"/>
          <w:szCs w:val="32"/>
          <w:highlight w:val="none"/>
          <w:lang w:val="en-US" w:eastAsia="zh-CN" w:bidi="ar"/>
        </w:rPr>
        <w:t>服务商应按要求每月25号前向医院全额支付一个月度的电费，逾期则每日按欠费总额的5‰支付滞纳金，如在催缴函期限内仍未缴纳，则医院有权在有权向保函开立行银行主张索赔，超过30天视同服务商违约，医院有权立即解除合同。</w:t>
      </w:r>
    </w:p>
    <w:p>
      <w:pPr>
        <w:keepNext w:val="0"/>
        <w:keepLines w:val="0"/>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bCs/>
          <w:sz w:val="32"/>
          <w:szCs w:val="32"/>
          <w:highlight w:val="none"/>
          <w:lang w:val="en-US" w:eastAsia="zh-CN" w:bidi="ar"/>
        </w:rPr>
      </w:pPr>
      <w:r>
        <w:rPr>
          <w:rFonts w:hint="eastAsia" w:ascii="仿宋_GB2312" w:hAnsi="仿宋_GB2312" w:eastAsia="仿宋_GB2312" w:cs="仿宋_GB2312"/>
          <w:bCs/>
          <w:sz w:val="32"/>
          <w:szCs w:val="32"/>
          <w:highlight w:val="none"/>
          <w:lang w:val="en-US" w:eastAsia="zh-CN" w:bidi="ar"/>
        </w:rPr>
        <w:t>6.拟投入本项目的项目负责人需具备机电工程专业二级建造师资格，拟投入本项目的技术人员需具备国家相关行政主管部门颁发的《特种作业操作证之电力电缆作业》。项目施工前，服务商需向医院提供相关证件复印件并加盖单位公章。</w:t>
      </w:r>
    </w:p>
    <w:p>
      <w:pPr>
        <w:keepNext w:val="0"/>
        <w:keepLines w:val="0"/>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bCs/>
          <w:color w:val="auto"/>
          <w:sz w:val="32"/>
          <w:szCs w:val="32"/>
          <w:highlight w:val="none"/>
          <w:lang w:val="en-US" w:eastAsia="zh-CN" w:bidi="ar"/>
        </w:rPr>
      </w:pPr>
      <w:r>
        <w:rPr>
          <w:rFonts w:hint="eastAsia" w:ascii="仿宋_GB2312" w:hAnsi="仿宋_GB2312" w:eastAsia="仿宋_GB2312" w:cs="仿宋_GB2312"/>
          <w:bCs/>
          <w:sz w:val="32"/>
          <w:szCs w:val="32"/>
          <w:highlight w:val="none"/>
          <w:lang w:val="en-US" w:eastAsia="zh-CN" w:bidi="ar"/>
        </w:rPr>
        <w:t>7.★为本项目安装的所有充电桩购买安全保险，包括公</w:t>
      </w:r>
      <w:r>
        <w:rPr>
          <w:rFonts w:hint="eastAsia" w:ascii="仿宋_GB2312" w:hAnsi="仿宋_GB2312" w:eastAsia="仿宋_GB2312" w:cs="仿宋_GB2312"/>
          <w:bCs/>
          <w:color w:val="auto"/>
          <w:sz w:val="32"/>
          <w:szCs w:val="32"/>
          <w:highlight w:val="none"/>
          <w:lang w:val="en-US" w:eastAsia="zh-CN" w:bidi="ar"/>
        </w:rPr>
        <w:t>众责任险以及不少于1000万元的设备责任险。</w:t>
      </w:r>
    </w:p>
    <w:p>
      <w:pPr>
        <w:keepNext w:val="0"/>
        <w:keepLines w:val="0"/>
        <w:pageBreakBefore w:val="0"/>
        <w:kinsoku/>
        <w:wordWrap/>
        <w:overflowPunct/>
        <w:topLinePunct w:val="0"/>
        <w:bidi w:val="0"/>
        <w:snapToGrid/>
        <w:spacing w:line="560" w:lineRule="exact"/>
        <w:ind w:firstLine="640" w:firstLineChars="200"/>
        <w:textAlignment w:val="auto"/>
        <w:rPr>
          <w:rFonts w:ascii="宋体" w:hAnsi="宋体" w:cs="宋体"/>
          <w:bCs/>
          <w:sz w:val="28"/>
          <w:szCs w:val="28"/>
        </w:rPr>
      </w:pPr>
      <w:r>
        <w:rPr>
          <w:rFonts w:hint="eastAsia" w:ascii="仿宋_GB2312" w:hAnsi="仿宋_GB2312" w:eastAsia="仿宋_GB2312" w:cs="仿宋_GB2312"/>
          <w:bCs/>
          <w:sz w:val="32"/>
          <w:szCs w:val="32"/>
          <w:highlight w:val="none"/>
          <w:lang w:val="en-US" w:eastAsia="zh-CN" w:bidi="ar"/>
        </w:rPr>
        <w:t>8.如双方不再合作，则服务商可在合同期满后一个月内拆除充电桩（不能破坏路面、墙面等建筑物，不能拆除电缆</w:t>
      </w:r>
      <w:bookmarkStart w:id="10" w:name="_GoBack"/>
      <w:bookmarkEnd w:id="10"/>
      <w:r>
        <w:rPr>
          <w:rFonts w:hint="eastAsia" w:ascii="仿宋_GB2312" w:hAnsi="仿宋_GB2312" w:eastAsia="仿宋_GB2312" w:cs="仿宋_GB2312"/>
          <w:bCs/>
          <w:sz w:val="32"/>
          <w:szCs w:val="32"/>
          <w:highlight w:val="none"/>
          <w:lang w:val="en-US" w:eastAsia="zh-CN" w:bidi="ar"/>
        </w:rPr>
        <w:t>），逾期不拆除的，视为放弃处理权，医院有权对其进行处置，且不需向服务商支付任何费用。</w:t>
      </w:r>
    </w:p>
    <w:p>
      <w:pPr>
        <w:keepNext w:val="0"/>
        <w:keepLines w:val="0"/>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bCs/>
          <w:sz w:val="32"/>
          <w:szCs w:val="32"/>
          <w:highlight w:val="none"/>
          <w:lang w:val="en-US" w:eastAsia="zh-CN" w:bidi="ar"/>
        </w:rPr>
      </w:pPr>
      <w:r>
        <w:rPr>
          <w:rFonts w:hint="eastAsia" w:ascii="仿宋_GB2312" w:hAnsi="仿宋_GB2312" w:eastAsia="仿宋_GB2312" w:cs="仿宋_GB2312"/>
          <w:bCs/>
          <w:sz w:val="32"/>
          <w:szCs w:val="32"/>
          <w:highlight w:val="none"/>
          <w:lang w:val="en-US" w:eastAsia="zh-CN" w:bidi="ar"/>
        </w:rPr>
        <w:t>9.由服务商投资建设的充电桩等，今后均由服务商承担维修维护责任和维修维护费用，在充电车场发生的消防安全、充电安全责任也全部由服务商承担，并写入合同内加以明确。同时积极配合有关部门的消防或安全检查，对有关安全隐患及时落实整改。</w:t>
      </w:r>
    </w:p>
    <w:p>
      <w:pPr>
        <w:keepNext w:val="0"/>
        <w:keepLines w:val="0"/>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bCs/>
          <w:sz w:val="32"/>
          <w:szCs w:val="32"/>
          <w:highlight w:val="none"/>
          <w:lang w:val="en-US" w:eastAsia="zh-CN" w:bidi="ar"/>
        </w:rPr>
      </w:pPr>
      <w:r>
        <w:rPr>
          <w:rFonts w:hint="eastAsia" w:ascii="仿宋_GB2312" w:hAnsi="仿宋_GB2312" w:eastAsia="仿宋_GB2312" w:cs="仿宋_GB2312"/>
          <w:bCs/>
          <w:sz w:val="32"/>
          <w:szCs w:val="32"/>
          <w:highlight w:val="none"/>
          <w:lang w:val="en-US" w:eastAsia="zh-CN" w:bidi="ar"/>
        </w:rPr>
        <w:t>10.在建设和运营期间，因有关部门消防或安全监管方面的政策调整，服务商应根据其要求对当前系统/产品更新或升级换代，由此产生的费用医院不予承担，需服务商自行研判和承担。</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rPr>
          <w:rFonts w:hint="eastAsia" w:ascii="黑体" w:hAnsi="黑体" w:eastAsia="黑体" w:cs="黑体"/>
          <w:iCs/>
          <w:kern w:val="2"/>
          <w:sz w:val="32"/>
          <w:szCs w:val="32"/>
          <w:lang w:val="zh-CN" w:eastAsia="zh-CN" w:bidi="ar-SA"/>
        </w:rPr>
      </w:pPr>
      <w:r>
        <w:rPr>
          <w:rFonts w:hint="eastAsia" w:ascii="黑体" w:hAnsi="黑体" w:eastAsia="黑体" w:cs="黑体"/>
          <w:iCs/>
          <w:kern w:val="2"/>
          <w:sz w:val="32"/>
          <w:szCs w:val="32"/>
          <w:lang w:val="zh-CN" w:eastAsia="zh-CN" w:bidi="ar-SA"/>
        </w:rPr>
        <w:t>四、服务要求</w:t>
      </w:r>
    </w:p>
    <w:p>
      <w:pPr>
        <w:keepNext w:val="0"/>
        <w:keepLines w:val="0"/>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bCs/>
          <w:sz w:val="32"/>
          <w:szCs w:val="32"/>
          <w:highlight w:val="none"/>
          <w:lang w:val="en-US" w:eastAsia="zh-CN" w:bidi="ar"/>
        </w:rPr>
      </w:pPr>
      <w:r>
        <w:rPr>
          <w:rFonts w:hint="eastAsia" w:ascii="仿宋_GB2312" w:hAnsi="仿宋_GB2312" w:eastAsia="仿宋_GB2312" w:cs="仿宋_GB2312"/>
          <w:bCs/>
          <w:sz w:val="32"/>
          <w:szCs w:val="32"/>
          <w:highlight w:val="none"/>
          <w:lang w:val="zh-CN" w:eastAsia="zh-CN" w:bidi="ar"/>
        </w:rPr>
        <w:t>（一）完成时间及实施地点</w:t>
      </w:r>
    </w:p>
    <w:p>
      <w:pPr>
        <w:keepNext w:val="0"/>
        <w:keepLines w:val="0"/>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bCs/>
          <w:sz w:val="32"/>
          <w:szCs w:val="32"/>
          <w:highlight w:val="none"/>
          <w:lang w:val="zh-CN" w:eastAsia="zh-CN" w:bidi="ar"/>
        </w:rPr>
      </w:pPr>
      <w:r>
        <w:rPr>
          <w:rFonts w:hint="eastAsia" w:ascii="仿宋_GB2312" w:hAnsi="仿宋_GB2312" w:eastAsia="仿宋_GB2312" w:cs="仿宋_GB2312"/>
          <w:bCs/>
          <w:sz w:val="32"/>
          <w:szCs w:val="32"/>
          <w:highlight w:val="none"/>
          <w:lang w:val="zh-CN" w:eastAsia="zh-CN" w:bidi="ar"/>
        </w:rPr>
        <w:t>1.完成时间：</w:t>
      </w:r>
      <w:r>
        <w:rPr>
          <w:rFonts w:hint="eastAsia" w:ascii="仿宋_GB2312" w:hAnsi="仿宋_GB2312" w:eastAsia="仿宋_GB2312" w:cs="仿宋_GB2312"/>
          <w:bCs/>
          <w:sz w:val="32"/>
          <w:szCs w:val="32"/>
          <w:highlight w:val="none"/>
          <w:lang w:val="en-US" w:eastAsia="zh-CN" w:bidi="ar"/>
        </w:rPr>
        <w:t>合同签订后50个日历天内完成所有货物安装、调试、联调、培训，达到验收标准。</w:t>
      </w:r>
    </w:p>
    <w:p>
      <w:pPr>
        <w:keepNext w:val="0"/>
        <w:keepLines w:val="0"/>
        <w:pageBreakBefore w:val="0"/>
        <w:kinsoku/>
        <w:wordWrap/>
        <w:overflowPunct/>
        <w:topLinePunct w:val="0"/>
        <w:bidi w:val="0"/>
        <w:snapToGrid/>
        <w:spacing w:line="560" w:lineRule="exact"/>
        <w:ind w:left="638" w:leftChars="304" w:firstLine="0" w:firstLineChars="0"/>
        <w:textAlignment w:val="auto"/>
        <w:rPr>
          <w:rFonts w:hint="eastAsia" w:ascii="仿宋_GB2312" w:hAnsi="仿宋_GB2312" w:eastAsia="仿宋_GB2312" w:cs="仿宋_GB2312"/>
          <w:bCs/>
          <w:sz w:val="32"/>
          <w:szCs w:val="32"/>
          <w:highlight w:val="none"/>
          <w:lang w:val="en-US" w:eastAsia="zh-CN" w:bidi="ar"/>
        </w:rPr>
      </w:pPr>
      <w:r>
        <w:rPr>
          <w:rFonts w:hint="eastAsia" w:ascii="仿宋_GB2312" w:hAnsi="仿宋_GB2312" w:eastAsia="仿宋_GB2312" w:cs="仿宋_GB2312"/>
          <w:bCs/>
          <w:sz w:val="32"/>
          <w:szCs w:val="32"/>
          <w:highlight w:val="none"/>
          <w:lang w:val="zh-CN" w:eastAsia="zh-CN" w:bidi="ar"/>
        </w:rPr>
        <w:t>2.实施地点：</w:t>
      </w:r>
      <w:r>
        <w:rPr>
          <w:rFonts w:hint="eastAsia" w:ascii="仿宋_GB2312" w:hAnsi="仿宋_GB2312" w:eastAsia="仿宋_GB2312" w:cs="仿宋_GB2312"/>
          <w:bCs/>
          <w:sz w:val="32"/>
          <w:szCs w:val="32"/>
          <w:highlight w:val="none"/>
          <w:lang w:val="en-US" w:eastAsia="zh-CN" w:bidi="ar"/>
        </w:rPr>
        <w:t>梅林街道梅坳二路1号深圳市中医肛肠医院（福田）。</w:t>
      </w:r>
    </w:p>
    <w:p>
      <w:pPr>
        <w:keepNext w:val="0"/>
        <w:keepLines w:val="0"/>
        <w:pageBreakBefore w:val="0"/>
        <w:kinsoku/>
        <w:wordWrap/>
        <w:overflowPunct/>
        <w:topLinePunct w:val="0"/>
        <w:bidi w:val="0"/>
        <w:snapToGrid/>
        <w:spacing w:line="560" w:lineRule="exact"/>
        <w:ind w:left="638" w:leftChars="304" w:firstLine="0" w:firstLineChars="0"/>
        <w:textAlignment w:val="auto"/>
        <w:rPr>
          <w:rFonts w:hint="eastAsia" w:ascii="仿宋_GB2312" w:hAnsi="仿宋_GB2312" w:eastAsia="仿宋_GB2312" w:cs="仿宋_GB2312"/>
          <w:bCs/>
          <w:sz w:val="32"/>
          <w:szCs w:val="32"/>
          <w:highlight w:val="none"/>
          <w:lang w:val="zh-CN" w:eastAsia="zh-CN" w:bidi="ar"/>
        </w:rPr>
      </w:pPr>
      <w:r>
        <w:rPr>
          <w:rFonts w:hint="eastAsia" w:ascii="仿宋_GB2312" w:hAnsi="仿宋_GB2312" w:eastAsia="仿宋_GB2312" w:cs="仿宋_GB2312"/>
          <w:bCs/>
          <w:sz w:val="32"/>
          <w:szCs w:val="32"/>
          <w:highlight w:val="none"/>
          <w:lang w:val="zh-CN" w:eastAsia="zh-CN" w:bidi="ar"/>
        </w:rPr>
        <w:t>（</w:t>
      </w:r>
      <w:r>
        <w:rPr>
          <w:rFonts w:hint="eastAsia" w:ascii="仿宋_GB2312" w:hAnsi="仿宋_GB2312" w:eastAsia="仿宋_GB2312" w:cs="仿宋_GB2312"/>
          <w:bCs/>
          <w:sz w:val="32"/>
          <w:szCs w:val="32"/>
          <w:highlight w:val="none"/>
          <w:lang w:val="en-US" w:eastAsia="zh-CN" w:bidi="ar"/>
        </w:rPr>
        <w:t>二</w:t>
      </w:r>
      <w:r>
        <w:rPr>
          <w:rFonts w:hint="eastAsia" w:ascii="仿宋_GB2312" w:hAnsi="仿宋_GB2312" w:eastAsia="仿宋_GB2312" w:cs="仿宋_GB2312"/>
          <w:bCs/>
          <w:sz w:val="32"/>
          <w:szCs w:val="32"/>
          <w:highlight w:val="none"/>
          <w:lang w:val="zh-CN" w:eastAsia="zh-CN" w:bidi="ar"/>
        </w:rPr>
        <w:t>）售后服务要求:</w:t>
      </w:r>
    </w:p>
    <w:p>
      <w:pPr>
        <w:keepNext w:val="0"/>
        <w:keepLines w:val="0"/>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bCs/>
          <w:sz w:val="32"/>
          <w:szCs w:val="32"/>
          <w:highlight w:val="none"/>
          <w:lang w:val="en-US" w:eastAsia="zh-CN" w:bidi="ar"/>
        </w:rPr>
      </w:pPr>
      <w:r>
        <w:rPr>
          <w:rFonts w:hint="eastAsia" w:ascii="仿宋_GB2312" w:hAnsi="仿宋_GB2312" w:eastAsia="仿宋_GB2312" w:cs="仿宋_GB2312"/>
          <w:bCs/>
          <w:sz w:val="32"/>
          <w:szCs w:val="32"/>
          <w:highlight w:val="none"/>
          <w:lang w:val="en-US" w:eastAsia="zh-CN" w:bidi="ar"/>
        </w:rPr>
        <w:t>1.服务商安排专业运维服务人员提供日常管理巡查、维修及抢修、处理投诉等服务。由此产生的一切费用（包括人员薪酬、节假日加班费及必要的保险等）均由服务商承担。服务人员工作期间应遵守医院及物业公司的相关规章制度。服务商提供本项目合作周期内全天24小时维修维保及应急处置服务，且故障处理承诺时限至少达到如下要求：</w:t>
      </w:r>
    </w:p>
    <w:p>
      <w:pPr>
        <w:keepNext w:val="0"/>
        <w:keepLines w:val="0"/>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bCs/>
          <w:sz w:val="32"/>
          <w:szCs w:val="32"/>
          <w:highlight w:val="none"/>
          <w:lang w:val="en-US" w:eastAsia="zh-CN" w:bidi="ar"/>
        </w:rPr>
      </w:pPr>
      <w:r>
        <w:rPr>
          <w:rFonts w:hint="eastAsia" w:ascii="仿宋_GB2312" w:hAnsi="仿宋_GB2312" w:eastAsia="仿宋_GB2312" w:cs="仿宋_GB2312"/>
          <w:bCs/>
          <w:sz w:val="32"/>
          <w:szCs w:val="32"/>
          <w:highlight w:val="none"/>
          <w:lang w:val="en-US" w:eastAsia="zh-CN" w:bidi="ar"/>
        </w:rPr>
        <w:t>（1）设备发生用电安全事故时，要求服务商当天到达现场及时、科学处理，与医院保持沟通，确保用电安全，尽可能降低损失；事后及时书面报告事故情况说明、配合有关方面调查并承担相应责任；</w:t>
      </w:r>
    </w:p>
    <w:p>
      <w:pPr>
        <w:keepNext w:val="0"/>
        <w:keepLines w:val="0"/>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bCs/>
          <w:sz w:val="32"/>
          <w:szCs w:val="32"/>
          <w:highlight w:val="none"/>
          <w:lang w:val="en-US" w:eastAsia="zh-CN" w:bidi="ar"/>
        </w:rPr>
      </w:pPr>
      <w:r>
        <w:rPr>
          <w:rFonts w:hint="eastAsia" w:ascii="仿宋_GB2312" w:hAnsi="仿宋_GB2312" w:eastAsia="仿宋_GB2312" w:cs="仿宋_GB2312"/>
          <w:bCs/>
          <w:sz w:val="32"/>
          <w:szCs w:val="32"/>
          <w:highlight w:val="none"/>
          <w:lang w:val="en-US" w:eastAsia="zh-CN" w:bidi="ar"/>
        </w:rPr>
        <w:t>（2）设备发生一般故障时，要求服务商当天到达现场处理，小故障处理（如网络故障、更换易损零部件等）时间不得超过24小时；单个充电桩整体无法充电的故障处理时间不得超过12小时；日常维保停用时间不超过6小时。</w:t>
      </w:r>
    </w:p>
    <w:p>
      <w:pPr>
        <w:keepNext w:val="0"/>
        <w:keepLines w:val="0"/>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bCs/>
          <w:sz w:val="32"/>
          <w:szCs w:val="32"/>
          <w:highlight w:val="none"/>
          <w:lang w:val="en-US" w:eastAsia="zh-CN" w:bidi="ar"/>
        </w:rPr>
      </w:pPr>
      <w:r>
        <w:rPr>
          <w:rFonts w:hint="eastAsia" w:ascii="仿宋_GB2312" w:hAnsi="仿宋_GB2312" w:eastAsia="仿宋_GB2312" w:cs="仿宋_GB2312"/>
          <w:bCs/>
          <w:sz w:val="32"/>
          <w:szCs w:val="32"/>
          <w:highlight w:val="none"/>
          <w:lang w:val="en-US" w:eastAsia="zh-CN" w:bidi="ar"/>
        </w:rPr>
        <w:t>2.服务商如发生收购、出让、重组、合并，或诉讼、查封、停业等，须保证本项目有效执行，如导致本项目无法延续的均视为服务商违约。</w:t>
      </w:r>
    </w:p>
    <w:p>
      <w:pPr>
        <w:keepNext w:val="0"/>
        <w:keepLines w:val="0"/>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bCs/>
          <w:sz w:val="32"/>
          <w:szCs w:val="32"/>
          <w:highlight w:val="none"/>
          <w:lang w:val="en-US" w:eastAsia="zh-CN" w:bidi="ar"/>
        </w:rPr>
      </w:pPr>
      <w:r>
        <w:rPr>
          <w:rFonts w:hint="eastAsia" w:ascii="仿宋_GB2312" w:hAnsi="仿宋_GB2312" w:eastAsia="仿宋_GB2312" w:cs="仿宋_GB2312"/>
          <w:bCs/>
          <w:sz w:val="32"/>
          <w:szCs w:val="32"/>
          <w:highlight w:val="none"/>
          <w:lang w:val="en-US" w:eastAsia="zh-CN" w:bidi="ar"/>
        </w:rPr>
        <w:t>3. 违规处罚：</w:t>
      </w:r>
    </w:p>
    <w:p>
      <w:pPr>
        <w:keepNext w:val="0"/>
        <w:keepLines w:val="0"/>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bCs/>
          <w:sz w:val="32"/>
          <w:szCs w:val="32"/>
          <w:highlight w:val="none"/>
          <w:lang w:val="en-US" w:eastAsia="zh-CN" w:bidi="ar"/>
        </w:rPr>
      </w:pPr>
      <w:r>
        <w:rPr>
          <w:rFonts w:hint="eastAsia" w:ascii="仿宋_GB2312" w:hAnsi="仿宋_GB2312" w:eastAsia="仿宋_GB2312" w:cs="仿宋_GB2312"/>
          <w:bCs/>
          <w:sz w:val="32"/>
          <w:szCs w:val="32"/>
          <w:highlight w:val="none"/>
          <w:lang w:val="en-US" w:eastAsia="zh-CN" w:bidi="ar"/>
        </w:rPr>
        <w:t>（1）经有资质的第三方检定系统计费存在偏差超过5%的，履约保函索赔1000元；偏差超过10%的，履约保函索赔2000元；偏差超过15%的，履约保函索赔5000元，且医院有权提前终止合同。</w:t>
      </w:r>
    </w:p>
    <w:p>
      <w:pPr>
        <w:keepNext w:val="0"/>
        <w:keepLines w:val="0"/>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bCs/>
          <w:sz w:val="32"/>
          <w:szCs w:val="32"/>
          <w:highlight w:val="none"/>
          <w:lang w:val="en-US" w:eastAsia="zh-CN" w:bidi="ar"/>
        </w:rPr>
      </w:pPr>
      <w:r>
        <w:rPr>
          <w:rFonts w:hint="eastAsia" w:ascii="仿宋_GB2312" w:hAnsi="仿宋_GB2312" w:eastAsia="仿宋_GB2312" w:cs="仿宋_GB2312"/>
          <w:bCs/>
          <w:sz w:val="32"/>
          <w:szCs w:val="32"/>
          <w:highlight w:val="none"/>
          <w:lang w:val="en-US" w:eastAsia="zh-CN" w:bidi="ar"/>
        </w:rPr>
        <w:t>（2）由于服务商责任，导致就充电服务事项进行群体性投诉的，每出现一次即在履约保函索赔3000元。</w:t>
      </w:r>
    </w:p>
    <w:p>
      <w:pPr>
        <w:keepNext w:val="0"/>
        <w:keepLines w:val="0"/>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bCs/>
          <w:sz w:val="32"/>
          <w:szCs w:val="32"/>
          <w:highlight w:val="none"/>
          <w:lang w:val="en-US" w:eastAsia="zh-CN" w:bidi="ar"/>
        </w:rPr>
      </w:pPr>
      <w:r>
        <w:rPr>
          <w:rFonts w:hint="eastAsia" w:ascii="仿宋_GB2312" w:hAnsi="仿宋_GB2312" w:eastAsia="仿宋_GB2312" w:cs="仿宋_GB2312"/>
          <w:bCs/>
          <w:sz w:val="32"/>
          <w:szCs w:val="32"/>
          <w:highlight w:val="none"/>
          <w:lang w:val="en-US" w:eastAsia="zh-CN" w:bidi="ar"/>
        </w:rPr>
        <w:t>（3）服务商对所报各类故障的响应及最后解决超出承诺时限，且导致该区域连续2天可用充电桩数量少于50%，每出现一次即在履约保函索赔1000元。</w:t>
      </w:r>
    </w:p>
    <w:p>
      <w:pPr>
        <w:keepNext w:val="0"/>
        <w:keepLines w:val="0"/>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bCs/>
          <w:sz w:val="32"/>
          <w:szCs w:val="32"/>
          <w:highlight w:val="none"/>
          <w:lang w:val="en-US" w:eastAsia="zh-CN" w:bidi="ar"/>
        </w:rPr>
      </w:pPr>
      <w:r>
        <w:rPr>
          <w:rFonts w:hint="eastAsia" w:ascii="仿宋_GB2312" w:hAnsi="仿宋_GB2312" w:eastAsia="仿宋_GB2312" w:cs="仿宋_GB2312"/>
          <w:bCs/>
          <w:sz w:val="32"/>
          <w:szCs w:val="32"/>
          <w:highlight w:val="none"/>
          <w:lang w:val="en-US" w:eastAsia="zh-CN" w:bidi="ar"/>
        </w:rPr>
        <w:t>（4）服务商拖欠电费超过1个月，视同服务商违约，医院有权立即解除合同。</w:t>
      </w:r>
    </w:p>
    <w:p>
      <w:pPr>
        <w:keepNext w:val="0"/>
        <w:keepLines w:val="0"/>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bCs/>
          <w:sz w:val="32"/>
          <w:szCs w:val="32"/>
          <w:highlight w:val="none"/>
          <w:lang w:val="en-US" w:eastAsia="zh-CN" w:bidi="ar"/>
        </w:rPr>
      </w:pPr>
      <w:r>
        <w:rPr>
          <w:rFonts w:hint="eastAsia" w:ascii="仿宋_GB2312" w:hAnsi="仿宋_GB2312" w:eastAsia="仿宋_GB2312" w:cs="仿宋_GB2312"/>
          <w:bCs/>
          <w:sz w:val="32"/>
          <w:szCs w:val="32"/>
          <w:highlight w:val="none"/>
          <w:lang w:val="en-US" w:eastAsia="zh-CN" w:bidi="ar"/>
        </w:rPr>
        <w:t>4.提前终止合同规定：</w:t>
      </w:r>
    </w:p>
    <w:p>
      <w:pPr>
        <w:keepNext w:val="0"/>
        <w:keepLines w:val="0"/>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bCs/>
          <w:sz w:val="32"/>
          <w:szCs w:val="32"/>
          <w:highlight w:val="none"/>
          <w:lang w:val="en-US" w:eastAsia="zh-CN" w:bidi="ar"/>
        </w:rPr>
      </w:pPr>
      <w:r>
        <w:rPr>
          <w:rFonts w:hint="eastAsia" w:ascii="仿宋_GB2312" w:hAnsi="仿宋_GB2312" w:eastAsia="仿宋_GB2312" w:cs="仿宋_GB2312"/>
          <w:bCs/>
          <w:sz w:val="32"/>
          <w:szCs w:val="32"/>
          <w:highlight w:val="none"/>
          <w:lang w:val="en-US" w:eastAsia="zh-CN" w:bidi="ar"/>
        </w:rPr>
        <w:t>（1）由服务商主动提出提前终止合同的，或医院认为由于服务商原因导致合同无法正常履行需提前终止合同的，医院不做任何补偿，充电桩整套设备无偿归医院所有，并索赔全部履约保函金。</w:t>
      </w:r>
    </w:p>
    <w:p>
      <w:pPr>
        <w:keepNext w:val="0"/>
        <w:keepLines w:val="0"/>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bCs/>
          <w:sz w:val="32"/>
          <w:szCs w:val="32"/>
          <w:highlight w:val="none"/>
          <w:lang w:val="en-US" w:eastAsia="zh-CN" w:bidi="ar"/>
        </w:rPr>
      </w:pPr>
      <w:r>
        <w:rPr>
          <w:rFonts w:hint="eastAsia" w:ascii="仿宋_GB2312" w:hAnsi="仿宋_GB2312" w:eastAsia="仿宋_GB2312" w:cs="仿宋_GB2312"/>
          <w:bCs/>
          <w:sz w:val="32"/>
          <w:szCs w:val="32"/>
          <w:highlight w:val="none"/>
          <w:lang w:val="en-US" w:eastAsia="zh-CN" w:bidi="ar"/>
        </w:rPr>
        <w:t>（2）项目在建设和运营过程中发生严重消防/安全事故、不配合有关消防或安全工作检查或在收到安全隐患整改通知书后未及时落实整改的，医院提前终止合同并无需做任何补偿，充电桩整套设备无偿归医院所有，并索赔全部履约保函金。</w:t>
      </w:r>
    </w:p>
    <w:p>
      <w:pPr>
        <w:keepNext w:val="0"/>
        <w:keepLines w:val="0"/>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bCs/>
          <w:sz w:val="32"/>
          <w:szCs w:val="32"/>
          <w:highlight w:val="none"/>
          <w:lang w:val="en-US" w:eastAsia="zh-CN" w:bidi="ar"/>
        </w:rPr>
      </w:pPr>
      <w:r>
        <w:rPr>
          <w:rFonts w:hint="eastAsia" w:ascii="仿宋_GB2312" w:hAnsi="仿宋_GB2312" w:eastAsia="仿宋_GB2312" w:cs="仿宋_GB2312"/>
          <w:bCs/>
          <w:sz w:val="32"/>
          <w:szCs w:val="32"/>
          <w:highlight w:val="none"/>
          <w:lang w:val="en-US" w:eastAsia="zh-CN" w:bidi="ar"/>
        </w:rPr>
        <w:t>（3）被扣减的履约保函金，服务商需无条件在10个工作天内补齐，否则医院有权提前终止合同。</w:t>
      </w:r>
    </w:p>
    <w:p>
      <w:pPr>
        <w:keepNext w:val="0"/>
        <w:keepLines w:val="0"/>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bCs/>
          <w:sz w:val="32"/>
          <w:szCs w:val="32"/>
          <w:highlight w:val="none"/>
          <w:lang w:val="en-US" w:eastAsia="zh-CN" w:bidi="ar"/>
        </w:rPr>
      </w:pPr>
      <w:r>
        <w:rPr>
          <w:rFonts w:hint="eastAsia" w:ascii="仿宋_GB2312" w:hAnsi="仿宋_GB2312" w:eastAsia="仿宋_GB2312" w:cs="仿宋_GB2312"/>
          <w:bCs/>
          <w:sz w:val="32"/>
          <w:szCs w:val="32"/>
          <w:highlight w:val="none"/>
          <w:lang w:val="en-US" w:eastAsia="zh-CN" w:bidi="ar"/>
        </w:rPr>
        <w:t>（4）服务商在合同约定期限届满前擅自将充电桩设备作为其它纠纷或者责任的抵押品，或服务商在合同约定期限届满前擅自将经营权转让给其他第三方时，均视为服务商违约，此时医院有权提前终止合同，并索赔全部履约保函金，服务商投入的所有设备归医院所有，并依法追究服务商的相关经济和法律责任。</w:t>
      </w:r>
    </w:p>
    <w:p>
      <w:pPr>
        <w:keepNext w:val="0"/>
        <w:keepLines w:val="0"/>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bCs/>
          <w:sz w:val="32"/>
          <w:szCs w:val="32"/>
          <w:highlight w:val="none"/>
          <w:lang w:val="en-US" w:eastAsia="zh-CN" w:bidi="ar"/>
        </w:rPr>
      </w:pPr>
      <w:r>
        <w:rPr>
          <w:rFonts w:hint="eastAsia" w:ascii="仿宋_GB2312" w:hAnsi="仿宋_GB2312" w:eastAsia="仿宋_GB2312" w:cs="仿宋_GB2312"/>
          <w:bCs/>
          <w:sz w:val="32"/>
          <w:szCs w:val="32"/>
          <w:highlight w:val="none"/>
          <w:lang w:val="en-US" w:eastAsia="zh-CN" w:bidi="ar"/>
        </w:rPr>
        <w:t>5. 由于不可抗力因素造成不能正常履行合同的，医院和服务商双方免责。</w:t>
      </w:r>
    </w:p>
    <w:p>
      <w:pPr>
        <w:keepNext w:val="0"/>
        <w:keepLines w:val="0"/>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bCs/>
          <w:sz w:val="32"/>
          <w:szCs w:val="32"/>
          <w:highlight w:val="none"/>
          <w:lang w:val="en-US" w:eastAsia="zh-CN" w:bidi="ar"/>
        </w:rPr>
      </w:pPr>
      <w:r>
        <w:rPr>
          <w:rFonts w:hint="eastAsia" w:ascii="仿宋_GB2312" w:hAnsi="仿宋_GB2312" w:eastAsia="仿宋_GB2312" w:cs="仿宋_GB2312"/>
          <w:bCs/>
          <w:sz w:val="32"/>
          <w:szCs w:val="32"/>
          <w:highlight w:val="none"/>
          <w:lang w:val="en-US" w:eastAsia="zh-CN" w:bidi="ar"/>
        </w:rPr>
        <w:t>6.医院和服务商在履约中发生争执和分歧，双方应通过友好协商解决，若经协商不能达成协议时，则可以向项目实施地所在地人民法院提起诉讼。受理期间，双方应继续履行合同其余条款。</w:t>
      </w:r>
    </w:p>
    <w:p>
      <w:pPr>
        <w:keepNext w:val="0"/>
        <w:keepLines w:val="0"/>
        <w:pageBreakBefore w:val="0"/>
        <w:kinsoku/>
        <w:wordWrap/>
        <w:overflowPunct/>
        <w:topLinePunct w:val="0"/>
        <w:bidi w:val="0"/>
        <w:snapToGrid/>
        <w:spacing w:line="560" w:lineRule="exact"/>
        <w:textAlignment w:val="auto"/>
      </w:pPr>
    </w:p>
    <w:sectPr>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微信用户" w:date="2024-04-10T08:54:10Z" w:initials="">
    <w:p w14:paraId="71BD6059">
      <w:pPr>
        <w:pStyle w:val="3"/>
        <w:rPr>
          <w:rFonts w:hint="default" w:eastAsia="宋体"/>
          <w:lang w:val="en-US" w:eastAsia="zh-CN"/>
        </w:rPr>
      </w:pPr>
      <w:r>
        <w:rPr>
          <w:rFonts w:hint="eastAsia"/>
          <w:lang w:val="en-US" w:eastAsia="zh-CN"/>
        </w:rPr>
        <w:t>建议为5万元银行保函</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1BD6059"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0E8D662-112B-42CE-A0BD-9FE7C42B00B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embedRegular r:id="rId2" w:fontKey="{6D20B5EC-2A39-472E-8A5D-594DB430F2D3}"/>
  </w:font>
  <w:font w:name="方正小标宋简体">
    <w:panose1 w:val="02000000000000000000"/>
    <w:charset w:val="86"/>
    <w:family w:val="auto"/>
    <w:pitch w:val="default"/>
    <w:sig w:usb0="00000001" w:usb1="08000000" w:usb2="00000000" w:usb3="00000000" w:csb0="00040000" w:csb1="00000000"/>
    <w:embedRegular r:id="rId3" w:fontKey="{46FDBCF3-E4AB-4FDB-BF3D-45F66FB60230}"/>
  </w:font>
  <w:font w:name="仿宋_GB2312">
    <w:panose1 w:val="02010609030101010101"/>
    <w:charset w:val="86"/>
    <w:family w:val="modern"/>
    <w:pitch w:val="default"/>
    <w:sig w:usb0="00000001" w:usb1="080E0000" w:usb2="00000000" w:usb3="00000000" w:csb0="00040000" w:csb1="00000000"/>
    <w:embedRegular r:id="rId4" w:fontKey="{544DB954-15AE-4793-8831-4D9BE456DDCB}"/>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D0477E"/>
    <w:multiLevelType w:val="multilevel"/>
    <w:tmpl w:val="3CD0477E"/>
    <w:lvl w:ilvl="0" w:tentative="0">
      <w:start w:val="1"/>
      <w:numFmt w:val="decimal"/>
      <w:lvlText w:val="%1)"/>
      <w:lvlJc w:val="left"/>
      <w:pPr>
        <w:ind w:left="1140" w:hanging="420"/>
      </w:pPr>
      <w:rPr>
        <w:rFonts w:hint="default" w:ascii="Times New Roman" w:hAnsi="Times New Roman" w:cs="Times New Roman"/>
      </w:rPr>
    </w:lvl>
    <w:lvl w:ilvl="1" w:tentative="0">
      <w:start w:val="1"/>
      <w:numFmt w:val="lowerLetter"/>
      <w:lvlText w:val="%2)"/>
      <w:lvlJc w:val="left"/>
      <w:pPr>
        <w:ind w:left="1560" w:hanging="420"/>
      </w:pPr>
      <w:rPr>
        <w:rFonts w:hint="default" w:ascii="Times New Roman" w:hAnsi="Times New Roman" w:cs="Times New Roman"/>
      </w:rPr>
    </w:lvl>
    <w:lvl w:ilvl="2" w:tentative="0">
      <w:start w:val="1"/>
      <w:numFmt w:val="lowerRoman"/>
      <w:lvlText w:val="%3."/>
      <w:lvlJc w:val="right"/>
      <w:pPr>
        <w:ind w:left="1980" w:hanging="420"/>
      </w:pPr>
      <w:rPr>
        <w:rFonts w:hint="default" w:ascii="Times New Roman" w:hAnsi="Times New Roman" w:cs="Times New Roman"/>
      </w:rPr>
    </w:lvl>
    <w:lvl w:ilvl="3" w:tentative="0">
      <w:start w:val="1"/>
      <w:numFmt w:val="decimal"/>
      <w:lvlText w:val="%4."/>
      <w:lvlJc w:val="left"/>
      <w:pPr>
        <w:ind w:left="2400" w:hanging="420"/>
      </w:pPr>
      <w:rPr>
        <w:rFonts w:hint="default" w:ascii="Times New Roman" w:hAnsi="Times New Roman" w:cs="Times New Roman"/>
      </w:rPr>
    </w:lvl>
    <w:lvl w:ilvl="4" w:tentative="0">
      <w:start w:val="1"/>
      <w:numFmt w:val="lowerLetter"/>
      <w:lvlText w:val="%5)"/>
      <w:lvlJc w:val="left"/>
      <w:pPr>
        <w:ind w:left="2820" w:hanging="420"/>
      </w:pPr>
      <w:rPr>
        <w:rFonts w:hint="default" w:ascii="Times New Roman" w:hAnsi="Times New Roman" w:cs="Times New Roman"/>
      </w:rPr>
    </w:lvl>
    <w:lvl w:ilvl="5" w:tentative="0">
      <w:start w:val="1"/>
      <w:numFmt w:val="lowerRoman"/>
      <w:lvlText w:val="%6."/>
      <w:lvlJc w:val="right"/>
      <w:pPr>
        <w:ind w:left="3240" w:hanging="420"/>
      </w:pPr>
      <w:rPr>
        <w:rFonts w:hint="default" w:ascii="Times New Roman" w:hAnsi="Times New Roman" w:cs="Times New Roman"/>
      </w:rPr>
    </w:lvl>
    <w:lvl w:ilvl="6" w:tentative="0">
      <w:start w:val="1"/>
      <w:numFmt w:val="decimal"/>
      <w:lvlText w:val="%7."/>
      <w:lvlJc w:val="left"/>
      <w:pPr>
        <w:ind w:left="3660" w:hanging="420"/>
      </w:pPr>
      <w:rPr>
        <w:rFonts w:hint="default" w:ascii="Times New Roman" w:hAnsi="Times New Roman" w:cs="Times New Roman"/>
      </w:rPr>
    </w:lvl>
    <w:lvl w:ilvl="7" w:tentative="0">
      <w:start w:val="1"/>
      <w:numFmt w:val="lowerLetter"/>
      <w:lvlText w:val="%8)"/>
      <w:lvlJc w:val="left"/>
      <w:pPr>
        <w:ind w:left="4080" w:hanging="420"/>
      </w:pPr>
      <w:rPr>
        <w:rFonts w:hint="default" w:ascii="Times New Roman" w:hAnsi="Times New Roman" w:cs="Times New Roman"/>
      </w:rPr>
    </w:lvl>
    <w:lvl w:ilvl="8" w:tentative="0">
      <w:start w:val="1"/>
      <w:numFmt w:val="lowerRoman"/>
      <w:lvlText w:val="%9."/>
      <w:lvlJc w:val="right"/>
      <w:pPr>
        <w:ind w:left="4500" w:hanging="420"/>
      </w:pPr>
      <w:rPr>
        <w:rFonts w:hint="default" w:ascii="Times New Roman" w:hAnsi="Times New Roman"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微信用户">
    <w15:presenceInfo w15:providerId="WPS Office" w15:userId="77313040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2ZGVjNDUxNTkxYTMyZjlkZjk1YWZmZmMyMDAwMjUifQ=="/>
  </w:docVars>
  <w:rsids>
    <w:rsidRoot w:val="44E55E69"/>
    <w:rsid w:val="0632625C"/>
    <w:rsid w:val="109C2F25"/>
    <w:rsid w:val="11D113E7"/>
    <w:rsid w:val="174D36C8"/>
    <w:rsid w:val="17E969A9"/>
    <w:rsid w:val="188449CB"/>
    <w:rsid w:val="1CFD52CB"/>
    <w:rsid w:val="1D280724"/>
    <w:rsid w:val="1D356066"/>
    <w:rsid w:val="26E054C2"/>
    <w:rsid w:val="27C43035"/>
    <w:rsid w:val="2A241818"/>
    <w:rsid w:val="2CA628E7"/>
    <w:rsid w:val="2D12039F"/>
    <w:rsid w:val="328F5FEE"/>
    <w:rsid w:val="37643EED"/>
    <w:rsid w:val="4055628F"/>
    <w:rsid w:val="44E55E69"/>
    <w:rsid w:val="50D321B4"/>
    <w:rsid w:val="511741E2"/>
    <w:rsid w:val="60406F34"/>
    <w:rsid w:val="662F4D42"/>
    <w:rsid w:val="6A773014"/>
    <w:rsid w:val="6B5A511C"/>
    <w:rsid w:val="6C3F0686"/>
    <w:rsid w:val="7A3B60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autoRedefine/>
    <w:qFormat/>
    <w:uiPriority w:val="0"/>
    <w:pPr>
      <w:keepNext/>
      <w:keepLines/>
      <w:widowControl w:val="0"/>
      <w:spacing w:before="260" w:after="260" w:line="415" w:lineRule="auto"/>
      <w:jc w:val="both"/>
      <w:outlineLvl w:val="2"/>
    </w:pPr>
    <w:rPr>
      <w:rFonts w:ascii="Times New Roman" w:hAnsi="Times New Roman"/>
      <w:b/>
      <w:bCs/>
      <w:kern w:val="2"/>
      <w:sz w:val="32"/>
      <w:szCs w:val="32"/>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3">
    <w:name w:val="annotation text"/>
    <w:basedOn w:val="1"/>
    <w:autoRedefine/>
    <w:qFormat/>
    <w:uiPriority w:val="0"/>
    <w:pPr>
      <w:jc w:val="left"/>
    </w:pPr>
  </w:style>
  <w:style w:type="paragraph" w:styleId="4">
    <w:name w:val="Body Text"/>
    <w:basedOn w:val="1"/>
    <w:next w:val="1"/>
    <w:autoRedefine/>
    <w:qFormat/>
    <w:uiPriority w:val="1"/>
    <w:rPr>
      <w:sz w:val="19"/>
      <w:szCs w:val="19"/>
    </w:rPr>
  </w:style>
  <w:style w:type="paragraph" w:customStyle="1" w:styleId="7">
    <w:name w:val="msolistparagraph"/>
    <w:basedOn w:val="1"/>
    <w:autoRedefine/>
    <w:qFormat/>
    <w:uiPriority w:val="0"/>
    <w:pPr>
      <w:ind w:firstLine="420" w:firstLineChars="200"/>
    </w:p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94</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2024-03-13T01:38:00Z</dcterms:created>
  <dc:creator>张云鹏</dc:creator>
  <cp:lastModifiedBy>scott</cp:lastModifiedBy>
  <dcterms:modified xsi:type="dcterms:W3CDTF">2024-04-10T07:00:41Z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0A98A37029584731AB85A062AEC63D02_13</vt:lpwstr>
  </property>
</Properties>
</file>