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Toc25454"/>
      <w:r>
        <w:rPr>
          <w:rFonts w:hint="eastAsia" w:ascii="方正小标宋简体" w:hAnsi="方正小标宋简体" w:eastAsia="方正小标宋简体" w:cs="方正小标宋简体"/>
          <w:sz w:val="36"/>
          <w:szCs w:val="36"/>
          <w:lang w:val="en-US" w:eastAsia="zh-CN"/>
        </w:rPr>
        <w:t>深圳市中医肛肠医院（福田）新院区</w:t>
      </w:r>
      <w:r>
        <w:rPr>
          <w:rFonts w:hint="eastAsia" w:ascii="方正小标宋简体" w:hAnsi="方正小标宋简体" w:eastAsia="方正小标宋简体" w:cs="方正小标宋简体"/>
          <w:sz w:val="36"/>
          <w:szCs w:val="36"/>
        </w:rPr>
        <w:t>新能源汽车</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充电桩</w:t>
      </w:r>
      <w:r>
        <w:rPr>
          <w:rFonts w:hint="eastAsia" w:ascii="方正小标宋简体" w:hAnsi="方正小标宋简体" w:eastAsia="方正小标宋简体" w:cs="方正小标宋简体"/>
          <w:sz w:val="36"/>
          <w:szCs w:val="36"/>
          <w:lang w:val="en-US" w:eastAsia="zh-CN"/>
        </w:rPr>
        <w:t>项目</w:t>
      </w:r>
      <w:r>
        <w:rPr>
          <w:rFonts w:hint="eastAsia" w:ascii="方正小标宋简体" w:hAnsi="方正小标宋简体" w:eastAsia="方正小标宋简体" w:cs="方正小标宋简体"/>
          <w:sz w:val="36"/>
          <w:szCs w:val="36"/>
        </w:rPr>
        <w:t>需求书</w:t>
      </w:r>
      <w:bookmarkEnd w:id="0"/>
    </w:p>
    <w:p>
      <w:pPr>
        <w:pStyle w:val="9"/>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leftChars="0" w:firstLine="640" w:firstLineChars="200"/>
        <w:textAlignment w:val="auto"/>
        <w:rPr>
          <w:rFonts w:hint="eastAsia" w:ascii="黑体" w:hAnsi="黑体" w:eastAsia="黑体" w:cs="黑体"/>
          <w:iCs/>
          <w:sz w:val="32"/>
          <w:szCs w:val="32"/>
          <w:lang w:val="en-US" w:eastAsia="zh-CN"/>
        </w:rPr>
      </w:pPr>
      <w:bookmarkStart w:id="1" w:name="_Toc452437822"/>
      <w:bookmarkStart w:id="2" w:name="_Toc399949734"/>
    </w:p>
    <w:p>
      <w:pPr>
        <w:pStyle w:val="9"/>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leftChars="0" w:firstLine="640" w:firstLineChars="200"/>
        <w:textAlignment w:val="auto"/>
        <w:rPr>
          <w:rFonts w:hint="eastAsia" w:ascii="黑体" w:hAnsi="黑体" w:eastAsia="黑体" w:cs="黑体"/>
          <w:iCs/>
          <w:sz w:val="32"/>
          <w:szCs w:val="32"/>
          <w:lang w:val="zh-CN"/>
        </w:rPr>
      </w:pPr>
      <w:r>
        <w:rPr>
          <w:rFonts w:hint="eastAsia" w:ascii="黑体" w:hAnsi="黑体" w:eastAsia="黑体" w:cs="黑体"/>
          <w:iCs/>
          <w:sz w:val="32"/>
          <w:szCs w:val="32"/>
          <w:lang w:val="en-US" w:eastAsia="zh-CN"/>
        </w:rPr>
        <w:t>一、</w:t>
      </w:r>
      <w:r>
        <w:rPr>
          <w:rFonts w:hint="eastAsia" w:ascii="黑体" w:hAnsi="黑体" w:eastAsia="黑体" w:cs="黑体"/>
          <w:iCs/>
          <w:sz w:val="32"/>
          <w:szCs w:val="32"/>
          <w:lang w:val="zh-CN"/>
        </w:rPr>
        <w:t>项目概述</w:t>
      </w:r>
    </w:p>
    <w:bookmarkEnd w:id="1"/>
    <w:bookmarkEnd w:id="2"/>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bidi="ar"/>
        </w:rPr>
      </w:pPr>
      <w:r>
        <w:rPr>
          <w:rFonts w:hint="eastAsia" w:ascii="仿宋_GB2312" w:hAnsi="仿宋_GB2312" w:eastAsia="仿宋_GB2312" w:cs="仿宋_GB2312"/>
          <w:bCs/>
          <w:sz w:val="32"/>
          <w:szCs w:val="32"/>
          <w:lang w:bidi="ar"/>
        </w:rPr>
        <w:t>负责</w:t>
      </w:r>
      <w:r>
        <w:rPr>
          <w:rFonts w:hint="eastAsia" w:ascii="仿宋_GB2312" w:hAnsi="仿宋_GB2312" w:eastAsia="仿宋_GB2312" w:cs="仿宋_GB2312"/>
          <w:bCs/>
          <w:sz w:val="32"/>
          <w:szCs w:val="32"/>
          <w:lang w:eastAsia="zh-CN" w:bidi="ar"/>
        </w:rPr>
        <w:t>深圳市中医肛肠医院（福田）</w:t>
      </w:r>
      <w:r>
        <w:rPr>
          <w:rFonts w:hint="eastAsia" w:ascii="仿宋_GB2312" w:hAnsi="仿宋_GB2312" w:eastAsia="仿宋_GB2312" w:cs="仿宋_GB2312"/>
          <w:bCs/>
          <w:sz w:val="32"/>
          <w:szCs w:val="32"/>
          <w:lang w:val="en-US" w:eastAsia="zh-CN" w:bidi="ar"/>
        </w:rPr>
        <w:t>新院区</w:t>
      </w:r>
      <w:r>
        <w:rPr>
          <w:rFonts w:hint="eastAsia" w:ascii="仿宋_GB2312" w:hAnsi="仿宋_GB2312" w:eastAsia="仿宋_GB2312" w:cs="仿宋_GB2312"/>
          <w:bCs/>
          <w:sz w:val="32"/>
          <w:szCs w:val="32"/>
          <w:lang w:bidi="ar"/>
        </w:rPr>
        <w:t>新能源汽车充电桩及日常管理与维护服务</w:t>
      </w:r>
      <w:r>
        <w:rPr>
          <w:rFonts w:hint="eastAsia" w:ascii="仿宋_GB2312" w:hAnsi="仿宋_GB2312" w:eastAsia="仿宋_GB2312" w:cs="仿宋_GB2312"/>
          <w:bCs/>
          <w:sz w:val="32"/>
          <w:szCs w:val="32"/>
          <w:lang w:eastAsia="zh-CN" w:bidi="ar"/>
        </w:rPr>
        <w:t>；</w:t>
      </w:r>
      <w:r>
        <w:rPr>
          <w:rFonts w:hint="eastAsia" w:ascii="仿宋_GB2312" w:hAnsi="仿宋_GB2312" w:eastAsia="仿宋_GB2312" w:cs="仿宋_GB2312"/>
          <w:bCs/>
          <w:sz w:val="32"/>
          <w:szCs w:val="32"/>
          <w:lang w:bidi="ar"/>
        </w:rPr>
        <w:t>建设地点</w:t>
      </w:r>
      <w:r>
        <w:rPr>
          <w:rFonts w:hint="eastAsia" w:ascii="仿宋_GB2312" w:hAnsi="仿宋_GB2312" w:eastAsia="仿宋_GB2312" w:cs="仿宋_GB2312"/>
          <w:bCs/>
          <w:sz w:val="32"/>
          <w:szCs w:val="32"/>
          <w:lang w:val="en-US" w:eastAsia="zh-CN" w:bidi="ar"/>
        </w:rPr>
        <w:t>位于</w:t>
      </w:r>
      <w:r>
        <w:rPr>
          <w:rFonts w:hint="eastAsia" w:ascii="仿宋_GB2312" w:hAnsi="仿宋_GB2312" w:eastAsia="仿宋_GB2312" w:cs="仿宋_GB2312"/>
          <w:bCs/>
          <w:sz w:val="32"/>
          <w:szCs w:val="32"/>
          <w:lang w:bidi="ar"/>
        </w:rPr>
        <w:t>：</w:t>
      </w:r>
      <w:r>
        <w:rPr>
          <w:rFonts w:hint="eastAsia" w:ascii="仿宋_GB2312" w:hAnsi="仿宋_GB2312" w:eastAsia="仿宋_GB2312" w:cs="仿宋_GB2312"/>
          <w:bCs/>
          <w:sz w:val="32"/>
          <w:szCs w:val="32"/>
          <w:lang w:val="en-US" w:eastAsia="zh-CN" w:bidi="ar"/>
        </w:rPr>
        <w:t>福田区梅林街道梅坳二路1号深圳市中医肛肠医院（福田）</w:t>
      </w:r>
      <w:r>
        <w:rPr>
          <w:rFonts w:hint="eastAsia" w:ascii="仿宋_GB2312" w:hAnsi="仿宋_GB2312" w:eastAsia="仿宋_GB2312" w:cs="仿宋_GB2312"/>
          <w:bCs/>
          <w:sz w:val="32"/>
          <w:szCs w:val="32"/>
          <w:lang w:bidi="ar"/>
        </w:rPr>
        <w:t>地下</w:t>
      </w:r>
      <w:r>
        <w:rPr>
          <w:rFonts w:hint="eastAsia" w:ascii="仿宋_GB2312" w:hAnsi="仿宋_GB2312" w:eastAsia="仿宋_GB2312" w:cs="仿宋_GB2312"/>
          <w:bCs/>
          <w:sz w:val="32"/>
          <w:szCs w:val="32"/>
          <w:lang w:val="en-US" w:eastAsia="zh-CN" w:bidi="ar"/>
        </w:rPr>
        <w:t>2-3层</w:t>
      </w:r>
      <w:r>
        <w:rPr>
          <w:rFonts w:hint="eastAsia" w:ascii="仿宋_GB2312" w:hAnsi="仿宋_GB2312" w:eastAsia="仿宋_GB2312" w:cs="仿宋_GB2312"/>
          <w:bCs/>
          <w:sz w:val="32"/>
          <w:szCs w:val="32"/>
          <w:lang w:bidi="ar"/>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iCs/>
          <w:kern w:val="2"/>
          <w:sz w:val="32"/>
          <w:szCs w:val="32"/>
          <w:lang w:val="zh-CN" w:eastAsia="zh-CN" w:bidi="ar-SA"/>
        </w:rPr>
      </w:pPr>
      <w:r>
        <w:rPr>
          <w:rFonts w:hint="eastAsia" w:ascii="黑体" w:hAnsi="黑体" w:eastAsia="黑体" w:cs="黑体"/>
          <w:iCs/>
          <w:kern w:val="2"/>
          <w:sz w:val="32"/>
          <w:szCs w:val="32"/>
          <w:lang w:val="zh-CN" w:eastAsia="zh-CN" w:bidi="ar-SA"/>
        </w:rPr>
        <w:t>二、项目建设内容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val="zh-CN" w:bidi="ar"/>
        </w:rPr>
      </w:pPr>
      <w:r>
        <w:rPr>
          <w:rFonts w:hint="eastAsia" w:ascii="仿宋_GB2312" w:hAnsi="仿宋_GB2312" w:eastAsia="仿宋_GB2312" w:cs="仿宋_GB2312"/>
          <w:bCs/>
          <w:sz w:val="32"/>
          <w:szCs w:val="32"/>
          <w:lang w:val="zh-CN" w:bidi="ar"/>
        </w:rPr>
        <w:t>（一）建设内容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1.投标人应提供所投设备生产厂商原装的、全新的、技术先进、性能优良、结构紧凑、便于安装和维护、符合国家及用户提出的有关质量标准的设备。</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2.设备正确安装后，能确保在正常的使用过程中安全、可靠，并达到有关规定的要求。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3.设备应符合中国政府颁布的产品、质量、技术、安全标准及环保标准。</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4.软件要求：所有配套软件为正版软件并提供证明文件。</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val="zh-CN" w:bidi="ar"/>
        </w:rPr>
      </w:pPr>
      <w:r>
        <w:rPr>
          <w:rFonts w:hint="eastAsia" w:ascii="仿宋_GB2312" w:hAnsi="仿宋_GB2312" w:eastAsia="仿宋_GB2312" w:cs="仿宋_GB2312"/>
          <w:bCs/>
          <w:sz w:val="32"/>
          <w:szCs w:val="32"/>
          <w:lang w:val="zh-CN" w:bidi="ar"/>
        </w:rPr>
        <w:t>（二）新能源汽车充电桩采购清单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3"/>
        <w:gridCol w:w="3489"/>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503"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bidi="ar"/>
              </w:rPr>
              <w:t>区  域</w:t>
            </w:r>
          </w:p>
        </w:tc>
        <w:tc>
          <w:tcPr>
            <w:tcW w:w="348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bidi="ar"/>
              </w:rPr>
              <w:t>充电桩安装位置</w:t>
            </w:r>
          </w:p>
        </w:tc>
        <w:tc>
          <w:tcPr>
            <w:tcW w:w="2069" w:type="dxa"/>
            <w:shd w:val="clear" w:color="auto" w:fill="auto"/>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bidi="ar"/>
              </w:rPr>
              <w:t>建设数量约（个）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3" w:type="dxa"/>
            <w:vMerge w:val="restart"/>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bidi="ar"/>
              </w:rPr>
              <w:t>梅林新院</w:t>
            </w:r>
            <w:r>
              <w:rPr>
                <w:rFonts w:hint="eastAsia" w:ascii="仿宋_GB2312" w:hAnsi="仿宋_GB2312" w:eastAsia="仿宋_GB2312" w:cs="仿宋_GB2312"/>
                <w:bCs/>
                <w:sz w:val="24"/>
                <w:szCs w:val="24"/>
                <w:lang w:bidi="ar"/>
              </w:rPr>
              <w:t>区</w:t>
            </w:r>
          </w:p>
        </w:tc>
        <w:tc>
          <w:tcPr>
            <w:tcW w:w="348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bidi="ar"/>
              </w:rPr>
              <w:t>地下停车场</w:t>
            </w:r>
            <w:r>
              <w:rPr>
                <w:rFonts w:hint="eastAsia" w:ascii="仿宋_GB2312" w:hAnsi="仿宋_GB2312" w:eastAsia="仿宋_GB2312" w:cs="仿宋_GB2312"/>
                <w:bCs/>
                <w:sz w:val="24"/>
                <w:szCs w:val="24"/>
                <w:lang w:val="en-US" w:eastAsia="zh-CN" w:bidi="ar"/>
              </w:rPr>
              <w:t>2层</w:t>
            </w:r>
          </w:p>
        </w:tc>
        <w:tc>
          <w:tcPr>
            <w:tcW w:w="206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3" w:type="dxa"/>
            <w:vMerge w:val="continue"/>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bidi="ar"/>
              </w:rPr>
            </w:pPr>
          </w:p>
        </w:tc>
        <w:tc>
          <w:tcPr>
            <w:tcW w:w="348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bidi="ar"/>
              </w:rPr>
            </w:pPr>
            <w:r>
              <w:rPr>
                <w:rFonts w:hint="eastAsia" w:ascii="仿宋_GB2312" w:hAnsi="仿宋_GB2312" w:eastAsia="仿宋_GB2312" w:cs="仿宋_GB2312"/>
                <w:bCs/>
                <w:sz w:val="24"/>
                <w:szCs w:val="24"/>
                <w:lang w:bidi="ar"/>
              </w:rPr>
              <w:t>地下停车场</w:t>
            </w:r>
            <w:r>
              <w:rPr>
                <w:rFonts w:hint="eastAsia" w:ascii="仿宋_GB2312" w:hAnsi="仿宋_GB2312" w:eastAsia="仿宋_GB2312" w:cs="仿宋_GB2312"/>
                <w:bCs/>
                <w:sz w:val="24"/>
                <w:szCs w:val="24"/>
                <w:lang w:val="en-US" w:eastAsia="zh-CN" w:bidi="ar"/>
              </w:rPr>
              <w:t>3层</w:t>
            </w:r>
          </w:p>
        </w:tc>
        <w:tc>
          <w:tcPr>
            <w:tcW w:w="206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2" w:type="dxa"/>
            <w:gridSpan w:val="2"/>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合计</w:t>
            </w:r>
          </w:p>
        </w:tc>
        <w:tc>
          <w:tcPr>
            <w:tcW w:w="206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default"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1" w:type="dxa"/>
            <w:gridSpan w:val="3"/>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注：如所需容量超过现有总容量，充电桩以实际核定数量为准</w:t>
            </w:r>
          </w:p>
        </w:tc>
      </w:tr>
    </w:tbl>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iCs/>
          <w:color w:val="auto"/>
          <w:kern w:val="2"/>
          <w:sz w:val="32"/>
          <w:szCs w:val="32"/>
          <w:lang w:val="zh-CN" w:eastAsia="zh-CN" w:bidi="ar-SA"/>
        </w:rPr>
      </w:pPr>
      <w:r>
        <w:rPr>
          <w:rFonts w:hint="eastAsia" w:ascii="黑体" w:hAnsi="黑体" w:eastAsia="黑体" w:cs="黑体"/>
          <w:iCs/>
          <w:color w:val="auto"/>
          <w:kern w:val="2"/>
          <w:sz w:val="32"/>
          <w:szCs w:val="32"/>
          <w:lang w:val="zh-CN" w:eastAsia="zh-CN" w:bidi="ar-SA"/>
        </w:rPr>
        <w:t>三、技术要求</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lang w:val="zh-CN" w:bidi="ar"/>
        </w:rPr>
        <w:t>（</w:t>
      </w:r>
      <w:r>
        <w:rPr>
          <w:rFonts w:hint="eastAsia" w:ascii="仿宋_GB2312" w:hAnsi="仿宋_GB2312" w:eastAsia="仿宋_GB2312" w:cs="仿宋_GB2312"/>
          <w:color w:val="auto"/>
          <w:sz w:val="32"/>
          <w:szCs w:val="32"/>
          <w:highlight w:val="none"/>
        </w:rPr>
        <w:t>充电桩产品设计符合国家有关规范标准，必须满足以下最新国标并体现在型式试验检测报告中。</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NB/T 33002-2018《电动汽车交流充电桩技术条件》 </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NB/T 33008.2-2018《电动汽车充电设备检验试验规范 第 2 部分：交流充电桩》 </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GB/T 18487.1-2015《电动汽车传导充电系统第 1 部分：通用要求》 </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GB/T 18487.2-2017《电动汽车传导充电系统 第 2 部分：非车载传导供电设备电磁兼容》</w:t>
      </w:r>
    </w:p>
    <w:p>
      <w:pPr>
        <w:pStyle w:val="2"/>
        <w:bidi w:val="0"/>
        <w:rPr>
          <w:rFonts w:hint="eastAsia" w:ascii="仿宋_GB2312" w:hAnsi="仿宋_GB2312" w:eastAsia="仿宋_GB2312" w:cs="仿宋_GB2312"/>
          <w:color w:val="auto"/>
          <w:sz w:val="32"/>
          <w:szCs w:val="32"/>
          <w:highlight w:val="none"/>
        </w:rPr>
      </w:pPr>
      <w:bookmarkStart w:id="3" w:name="_Toc98411310"/>
      <w:r>
        <w:rPr>
          <w:rFonts w:hint="eastAsia" w:ascii="仿宋_GB2312" w:hAnsi="仿宋_GB2312" w:eastAsia="仿宋_GB2312" w:cs="仿宋_GB2312"/>
          <w:color w:val="auto"/>
          <w:sz w:val="32"/>
          <w:szCs w:val="32"/>
          <w:highlight w:val="none"/>
        </w:rPr>
        <w:t>环境条件</w:t>
      </w:r>
      <w:bookmarkEnd w:id="3"/>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海拔高度</w:t>
      </w:r>
    </w:p>
    <w:p>
      <w:pPr>
        <w:keepNext w:val="0"/>
        <w:keepLines w:val="0"/>
        <w:pageBreakBefore w:val="0"/>
        <w:widowControl/>
        <w:kinsoku/>
        <w:wordWrap/>
        <w:overflowPunct/>
        <w:topLinePunct w:val="0"/>
        <w:autoSpaceDE/>
        <w:autoSpaceDN/>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设备应满足使用环境条件：海拔高度≤2000m。</w:t>
      </w:r>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2、温度</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jc w:val="left"/>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设备运行期间周围环境温度不高于50℃，不低于-20℃。</w:t>
      </w:r>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3、湿度</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jc w:val="left"/>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日平均相对湿度不大于95%，月平均相对湿度不大于90%。</w:t>
      </w:r>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4、安装垂直倾斜度</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jc w:val="left"/>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不超过5%。</w:t>
      </w:r>
    </w:p>
    <w:p>
      <w:pPr>
        <w:pStyle w:val="2"/>
        <w:bidi w:val="0"/>
        <w:rPr>
          <w:rFonts w:hint="eastAsia" w:ascii="仿宋_GB2312" w:hAnsi="仿宋_GB2312" w:eastAsia="仿宋_GB2312" w:cs="仿宋_GB2312"/>
          <w:color w:val="auto"/>
          <w:sz w:val="32"/>
          <w:szCs w:val="32"/>
          <w:highlight w:val="none"/>
        </w:rPr>
      </w:pPr>
      <w:bookmarkStart w:id="4" w:name="_Toc98411311"/>
      <w:bookmarkStart w:id="5" w:name="_Toc256337143"/>
      <w:bookmarkStart w:id="6" w:name="_Toc252561225"/>
      <w:r>
        <w:rPr>
          <w:rFonts w:hint="eastAsia" w:ascii="仿宋_GB2312" w:hAnsi="仿宋_GB2312" w:eastAsia="仿宋_GB2312" w:cs="仿宋_GB2312"/>
          <w:color w:val="auto"/>
          <w:sz w:val="32"/>
          <w:szCs w:val="32"/>
          <w:highlight w:val="none"/>
        </w:rPr>
        <w:t>通用要求</w:t>
      </w:r>
      <w:bookmarkEnd w:id="4"/>
      <w:bookmarkEnd w:id="5"/>
      <w:bookmarkEnd w:id="6"/>
    </w:p>
    <w:p>
      <w:pPr>
        <w:keepNext w:val="0"/>
        <w:keepLines w:val="0"/>
        <w:pageBreakBefore w:val="0"/>
        <w:kinsoku/>
        <w:wordWrap/>
        <w:overflowPunct/>
        <w:topLinePunct w:val="0"/>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1、主要技术参数</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交流输入电压:单相220V±15%（187V～253V AC）</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交流输入频率:50Hz±</w:t>
      </w:r>
      <w:r>
        <w:rPr>
          <w:rFonts w:hint="eastAsia" w:ascii="仿宋_GB2312" w:hAnsi="仿宋_GB2312" w:eastAsia="仿宋_GB2312" w:cs="仿宋_GB2312"/>
          <w:color w:val="auto"/>
          <w:sz w:val="32"/>
          <w:szCs w:val="32"/>
          <w:highlight w:val="none"/>
          <w:lang w:val="en-US" w:eastAsia="zh-CN"/>
        </w:rPr>
        <w:t>1Hz</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额定电流:</w:t>
      </w:r>
      <w:r>
        <w:rPr>
          <w:rFonts w:hint="eastAsia" w:ascii="仿宋_GB2312" w:hAnsi="仿宋_GB2312" w:eastAsia="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A(单枪7kW)</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待机损耗:设备待机损耗小于</w:t>
      </w:r>
      <w:r>
        <w:rPr>
          <w:rFonts w:hint="eastAsia" w:ascii="仿宋_GB2312" w:hAnsi="仿宋_GB2312" w:eastAsia="仿宋_GB2312" w:cs="仿宋_GB2312"/>
          <w:color w:val="auto"/>
          <w:sz w:val="32"/>
          <w:szCs w:val="32"/>
          <w:highlight w:val="none"/>
          <w:lang w:val="en-US" w:eastAsia="zh-CN"/>
        </w:rPr>
        <w:t>5W</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防护等级：IP65 （备注：交流桩散热要求低，IP等级可比IP54高,做到用水冲洗，无任何伤害）。</w:t>
      </w:r>
    </w:p>
    <w:p>
      <w:pPr>
        <w:keepNext w:val="0"/>
        <w:keepLines w:val="0"/>
        <w:pageBreakBefore w:val="0"/>
        <w:kinsoku/>
        <w:wordWrap/>
        <w:overflowPunct/>
        <w:topLinePunct w:val="0"/>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2、主要性能要求（*）</w:t>
      </w:r>
    </w:p>
    <w:p>
      <w:pPr>
        <w:keepNext w:val="0"/>
        <w:keepLines w:val="0"/>
        <w:pageBreakBefore w:val="0"/>
        <w:widowControl w:val="0"/>
        <w:kinsoku/>
        <w:wordWrap/>
        <w:overflowPunct/>
        <w:topLinePunct w:val="0"/>
        <w:autoSpaceDE w:val="0"/>
        <w:autoSpaceDN w:val="0"/>
        <w:bidi w:val="0"/>
        <w:adjustRightInd w:val="0"/>
        <w:snapToGrid w:val="0"/>
        <w:spacing w:line="300" w:lineRule="auto"/>
        <w:ind w:right="4082" w:firstLine="643" w:firstLineChars="200"/>
        <w:jc w:val="left"/>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CN"/>
        </w:rPr>
        <w:t>A、</w:t>
      </w:r>
      <w:r>
        <w:rPr>
          <w:rFonts w:hint="eastAsia" w:ascii="仿宋_GB2312" w:hAnsi="仿宋_GB2312" w:eastAsia="仿宋_GB2312" w:cs="仿宋_GB2312"/>
          <w:b/>
          <w:color w:val="auto"/>
          <w:kern w:val="0"/>
          <w:sz w:val="32"/>
          <w:szCs w:val="32"/>
          <w:highlight w:val="none"/>
        </w:rPr>
        <w:t>人机交互功能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充电操作功能，充电桩应具备如下充电操作功能：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手机扫码充电及支付功能；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刷卡进行充电操作及支付功能。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充电桩面板具有充电指示灯，能够通过不同颜色区分待机、</w:t>
      </w:r>
      <w:r>
        <w:rPr>
          <w:rFonts w:hint="eastAsia" w:ascii="仿宋_GB2312" w:hAnsi="仿宋_GB2312" w:eastAsia="仿宋_GB2312" w:cs="仿宋_GB2312"/>
          <w:color w:val="auto"/>
          <w:sz w:val="32"/>
          <w:szCs w:val="32"/>
          <w:highlight w:val="none"/>
          <w:lang w:val="en-US" w:eastAsia="zh-CN"/>
        </w:rPr>
        <w:t>已插枪、</w:t>
      </w:r>
      <w:r>
        <w:rPr>
          <w:rFonts w:hint="eastAsia" w:ascii="仿宋_GB2312" w:hAnsi="仿宋_GB2312" w:eastAsia="仿宋_GB2312" w:cs="仿宋_GB2312"/>
          <w:color w:val="auto"/>
          <w:sz w:val="32"/>
          <w:szCs w:val="32"/>
          <w:highlight w:val="none"/>
        </w:rPr>
        <w:t>充电中、故障状态</w:t>
      </w:r>
      <w:r>
        <w:rPr>
          <w:rFonts w:hint="eastAsia" w:ascii="仿宋_GB2312" w:hAnsi="仿宋_GB2312" w:eastAsia="仿宋_GB2312" w:cs="仿宋_GB2312"/>
          <w:color w:val="auto"/>
          <w:sz w:val="32"/>
          <w:szCs w:val="32"/>
          <w:highlight w:val="none"/>
          <w:lang w:val="en-US" w:eastAsia="zh-CN"/>
        </w:rPr>
        <w:t>四种状态</w:t>
      </w:r>
      <w:r>
        <w:rPr>
          <w:rFonts w:hint="eastAsia" w:ascii="仿宋_GB2312" w:hAnsi="仿宋_GB2312" w:eastAsia="仿宋_GB2312" w:cs="仿宋_GB2312"/>
          <w:color w:val="auto"/>
          <w:sz w:val="32"/>
          <w:szCs w:val="32"/>
          <w:highlight w:val="none"/>
          <w:lang w:eastAsia="zh-CN"/>
        </w:rPr>
        <w:t>。</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提供运营平台的接入服务。充电控制、充电导航、信息查询、在线支付等功能应能通过开放的后台实现。 </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信息显示字符清晰、完整，应不依靠环境光源即可辨认。</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643"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kern w:val="0"/>
          <w:sz w:val="32"/>
          <w:szCs w:val="32"/>
          <w:highlight w:val="none"/>
          <w:lang w:val="en-US" w:eastAsia="zh-CN"/>
        </w:rPr>
        <w:t>B、</w:t>
      </w:r>
      <w:r>
        <w:rPr>
          <w:rFonts w:hint="eastAsia" w:ascii="仿宋_GB2312" w:hAnsi="仿宋_GB2312" w:eastAsia="仿宋_GB2312" w:cs="仿宋_GB2312"/>
          <w:b/>
          <w:color w:val="auto"/>
          <w:sz w:val="32"/>
          <w:szCs w:val="32"/>
          <w:highlight w:val="none"/>
        </w:rPr>
        <w:t>计量功能</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每个充电桩设备可单独计量，配置电能计量</w:t>
      </w:r>
      <w:r>
        <w:rPr>
          <w:rFonts w:hint="eastAsia" w:ascii="仿宋_GB2312" w:hAnsi="仿宋_GB2312" w:eastAsia="仿宋_GB2312" w:cs="仿宋_GB2312"/>
          <w:color w:val="auto"/>
          <w:sz w:val="32"/>
          <w:szCs w:val="32"/>
          <w:highlight w:val="none"/>
          <w:lang w:val="en-US" w:eastAsia="zh-CN"/>
        </w:rPr>
        <w:t>装置</w:t>
      </w:r>
      <w:r>
        <w:rPr>
          <w:rFonts w:hint="eastAsia" w:ascii="仿宋_GB2312" w:hAnsi="仿宋_GB2312" w:eastAsia="仿宋_GB2312" w:cs="仿宋_GB2312"/>
          <w:color w:val="auto"/>
          <w:sz w:val="32"/>
          <w:szCs w:val="32"/>
          <w:highlight w:val="none"/>
        </w:rPr>
        <w:t>，精确度等级不低于1.0级，电能计量装置安装于充电桩内部，并应提供实施电能表现场检定的接口，便于现场核查计量装置的例行操作。计量装置应符合国家计量器具检定相关要求并提供检测报告。</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42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C、启动与停机功能</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交流充电桩支持的启动方式：刷卡启动、扫码启动。</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交流充电桩支持的停机方式：自动充满停机、达到限定金额停机、客户端手动停机、急停停机、刷卡停机。</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643"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D、</w:t>
      </w:r>
      <w:r>
        <w:rPr>
          <w:rFonts w:hint="eastAsia" w:ascii="仿宋_GB2312" w:hAnsi="仿宋_GB2312" w:eastAsia="仿宋_GB2312" w:cs="仿宋_GB2312"/>
          <w:b/>
          <w:color w:val="auto"/>
          <w:sz w:val="32"/>
          <w:szCs w:val="32"/>
          <w:highlight w:val="none"/>
        </w:rPr>
        <w:t>充电接口要求</w:t>
      </w:r>
    </w:p>
    <w:p>
      <w:pPr>
        <w:keepNext w:val="0"/>
        <w:keepLines w:val="0"/>
        <w:pageBreakBefore w:val="0"/>
        <w:kinsoku/>
        <w:wordWrap/>
        <w:overflowPunct/>
        <w:topLinePunct w:val="0"/>
        <w:bidi w:val="0"/>
        <w:snapToGrid w:val="0"/>
        <w:spacing w:line="30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1) 充电连接装置应满足国标GB/T 20234.1-2015《电动汽车传导充电用连接装置 第1部分 通用要求》和GB/T 20234.2-2015《电动汽车传导充电用连接装置 第2部分交流充电接口》中的规定。</w:t>
      </w:r>
    </w:p>
    <w:p>
      <w:pPr>
        <w:keepNext w:val="0"/>
        <w:keepLines w:val="0"/>
        <w:pageBreakBefore w:val="0"/>
        <w:kinsoku/>
        <w:wordWrap/>
        <w:overflowPunct/>
        <w:topLinePunct w:val="0"/>
        <w:bidi w:val="0"/>
        <w:snapToGrid w:val="0"/>
        <w:spacing w:line="30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2）充电桩充电线缆长度(充电枪线)：≥</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M。</w:t>
      </w:r>
    </w:p>
    <w:p>
      <w:pPr>
        <w:pStyle w:val="2"/>
        <w:bidi w:val="0"/>
        <w:rPr>
          <w:rFonts w:hint="eastAsia" w:ascii="仿宋_GB2312" w:hAnsi="仿宋_GB2312" w:eastAsia="仿宋_GB2312" w:cs="仿宋_GB2312"/>
          <w:color w:val="auto"/>
          <w:sz w:val="32"/>
          <w:szCs w:val="32"/>
          <w:highlight w:val="none"/>
        </w:rPr>
      </w:pPr>
      <w:bookmarkStart w:id="7" w:name="_Toc98411312"/>
      <w:r>
        <w:rPr>
          <w:rFonts w:hint="eastAsia" w:ascii="仿宋_GB2312" w:hAnsi="仿宋_GB2312" w:eastAsia="仿宋_GB2312" w:cs="仿宋_GB2312"/>
          <w:color w:val="auto"/>
          <w:sz w:val="32"/>
          <w:szCs w:val="32"/>
          <w:highlight w:val="none"/>
        </w:rPr>
        <w:t>电气安全及功能要求</w:t>
      </w:r>
      <w:bookmarkEnd w:id="7"/>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1、IP 防护等级</w:t>
      </w:r>
    </w:p>
    <w:p>
      <w:pPr>
        <w:keepNext w:val="0"/>
        <w:keepLines w:val="0"/>
        <w:pageBreakBefore w:val="0"/>
        <w:widowControl w:val="0"/>
        <w:kinsoku/>
        <w:wordWrap/>
        <w:overflowPunct/>
        <w:topLinePunct w:val="0"/>
        <w:autoSpaceDE w:val="0"/>
        <w:autoSpaceDN w:val="0"/>
        <w:bidi w:val="0"/>
        <w:adjustRightInd/>
        <w:snapToGrid w:val="0"/>
        <w:spacing w:line="300" w:lineRule="auto"/>
        <w:ind w:firstLine="1280" w:firstLineChars="4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充电桩防护等级应符合</w:t>
      </w:r>
      <w:r>
        <w:rPr>
          <w:rFonts w:hint="eastAsia" w:ascii="仿宋_GB2312" w:hAnsi="仿宋_GB2312" w:eastAsia="仿宋_GB2312" w:cs="仿宋_GB2312"/>
          <w:color w:val="auto"/>
          <w:kern w:val="0"/>
          <w:sz w:val="32"/>
          <w:szCs w:val="32"/>
          <w:highlight w:val="none"/>
        </w:rPr>
        <w:t>IP</w:t>
      </w:r>
      <w:r>
        <w:rPr>
          <w:rFonts w:hint="eastAsia" w:ascii="仿宋_GB2312" w:hAnsi="仿宋_GB2312" w:eastAsia="仿宋_GB2312" w:cs="仿宋_GB2312"/>
          <w:color w:val="auto"/>
          <w:kern w:val="0"/>
          <w:sz w:val="32"/>
          <w:szCs w:val="32"/>
          <w:highlight w:val="none"/>
          <w:lang w:val="en-US" w:eastAsia="zh-CN"/>
        </w:rPr>
        <w:t>65</w:t>
      </w:r>
      <w:r>
        <w:rPr>
          <w:rFonts w:hint="eastAsia" w:ascii="仿宋_GB2312" w:hAnsi="仿宋_GB2312" w:eastAsia="仿宋_GB2312" w:cs="仿宋_GB2312"/>
          <w:color w:val="auto"/>
          <w:sz w:val="32"/>
          <w:szCs w:val="32"/>
          <w:highlight w:val="none"/>
        </w:rPr>
        <w:t>等级要求。</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 环境温度</w:t>
      </w:r>
    </w:p>
    <w:p>
      <w:pPr>
        <w:keepNext w:val="0"/>
        <w:keepLines w:val="0"/>
        <w:pageBreakBefore w:val="0"/>
        <w:widowControl w:val="0"/>
        <w:kinsoku/>
        <w:wordWrap/>
        <w:overflowPunct/>
        <w:topLinePunct w:val="0"/>
        <w:autoSpaceDE w:val="0"/>
        <w:autoSpaceDN w:val="0"/>
        <w:bidi w:val="0"/>
        <w:adjustRightInd/>
        <w:snapToGrid w:val="0"/>
        <w:spacing w:line="300" w:lineRule="auto"/>
        <w:ind w:firstLine="1280" w:firstLineChars="4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不高于50℃，不低于-20℃。</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 温度适应性</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交流桩在经过高温、低温和模拟太阳辐射试验后，不应出现以下缺陷：</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1）交流桩桩体的翘曲、损伤或损坏、永久变形；</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2）各活动部件开关不灵活或闭锁不可靠；</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3）涂层、密封等部位的膨胀、开裂、脱落；</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4）安装件、紧固件的弯曲、松动、移位或损坏；</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5）金属件的锈蚀或涂覆层脱落；</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三防保护</w:t>
      </w:r>
    </w:p>
    <w:p>
      <w:pPr>
        <w:keepNext w:val="0"/>
        <w:keepLines w:val="0"/>
        <w:pageBreakBefore w:val="0"/>
        <w:widowControl w:val="0"/>
        <w:kinsoku/>
        <w:wordWrap/>
        <w:overflowPunct/>
        <w:topLinePunct w:val="0"/>
        <w:autoSpaceDE w:val="0"/>
        <w:autoSpaceDN w:val="0"/>
        <w:bidi w:val="0"/>
        <w:adjustRightInd/>
        <w:snapToGrid w:val="0"/>
        <w:spacing w:line="300" w:lineRule="auto"/>
        <w:ind w:firstLine="944" w:firstLineChars="29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交流桩内印刷电路板、接插件等电路应进行防潮湿、防霉变、防盐雾处理，保证交流桩能在室外潮湿、含盐雾的环境下正常运行。</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 耐冲击强度</w:t>
      </w:r>
    </w:p>
    <w:p>
      <w:pPr>
        <w:keepNext w:val="0"/>
        <w:keepLines w:val="0"/>
        <w:pageBreakBefore w:val="0"/>
        <w:widowControl w:val="0"/>
        <w:kinsoku/>
        <w:wordWrap/>
        <w:overflowPunct/>
        <w:topLinePunct w:val="0"/>
        <w:autoSpaceDE w:val="0"/>
        <w:autoSpaceDN w:val="0"/>
        <w:bidi w:val="0"/>
        <w:adjustRightInd/>
        <w:snapToGrid w:val="0"/>
        <w:spacing w:line="300" w:lineRule="auto"/>
        <w:ind w:firstLine="944" w:firstLineChars="29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交流桩的外壳应能承受GB 7251.3-2006 中8.2.10 规定的耐冲击强度试验。</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 各部件的温升</w:t>
      </w:r>
    </w:p>
    <w:p>
      <w:pPr>
        <w:keepNext w:val="0"/>
        <w:keepLines w:val="0"/>
        <w:pageBreakBefore w:val="0"/>
        <w:widowControl w:val="0"/>
        <w:kinsoku/>
        <w:wordWrap/>
        <w:overflowPunct/>
        <w:topLinePunct w:val="0"/>
        <w:autoSpaceDE w:val="0"/>
        <w:autoSpaceDN w:val="0"/>
        <w:bidi w:val="0"/>
        <w:adjustRightInd/>
        <w:snapToGrid w:val="0"/>
        <w:spacing w:line="300" w:lineRule="auto"/>
        <w:ind w:firstLine="944" w:firstLineChars="29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各部件的温升不超过NB/T 33001-2010 中6.4 的规定。</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7、 噪声要求</w:t>
      </w:r>
    </w:p>
    <w:p>
      <w:pPr>
        <w:keepNext w:val="0"/>
        <w:keepLines w:val="0"/>
        <w:pageBreakBefore w:val="0"/>
        <w:widowControl w:val="0"/>
        <w:kinsoku/>
        <w:wordWrap/>
        <w:overflowPunct/>
        <w:topLinePunct w:val="0"/>
        <w:autoSpaceDE w:val="0"/>
        <w:autoSpaceDN w:val="0"/>
        <w:bidi w:val="0"/>
        <w:adjustRightInd/>
        <w:snapToGrid w:val="0"/>
        <w:spacing w:line="300" w:lineRule="auto"/>
        <w:ind w:left="748" w:leftChars="338" w:hanging="38" w:hangingChars="12"/>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噪声小于等于60dB（距装置1m处）。</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8、 可靠性要求</w:t>
      </w:r>
    </w:p>
    <w:p>
      <w:pPr>
        <w:keepNext w:val="0"/>
        <w:keepLines w:val="0"/>
        <w:pageBreakBefore w:val="0"/>
        <w:widowControl w:val="0"/>
        <w:kinsoku/>
        <w:wordWrap/>
        <w:overflowPunct/>
        <w:topLinePunct w:val="0"/>
        <w:autoSpaceDE w:val="0"/>
        <w:autoSpaceDN w:val="0"/>
        <w:bidi w:val="0"/>
        <w:adjustRightInd/>
        <w:snapToGrid w:val="0"/>
        <w:spacing w:line="300" w:lineRule="auto"/>
        <w:ind w:left="748" w:leftChars="338" w:hanging="38" w:hangingChars="12"/>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平均故障间隔时间应大于等于87</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0H</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9、 安全防护功能</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 交流桩应具有急停开关，即在紧急情况下，可切断充电回路；故障排除后，急停开关恢复后应能正常工作。</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 应具备交流输入过/欠压保护、过负荷保护、短路保护、漏电保护、防雷保护、过热保护等保护功能：</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a) 漏电保护：</w:t>
      </w:r>
      <w:r>
        <w:rPr>
          <w:rFonts w:hint="eastAsia" w:ascii="仿宋_GB2312" w:hAnsi="仿宋_GB2312" w:eastAsia="仿宋_GB2312" w:cs="仿宋_GB2312"/>
          <w:color w:val="auto"/>
          <w:sz w:val="32"/>
          <w:szCs w:val="32"/>
          <w:highlight w:val="none"/>
          <w:lang w:val="en-US" w:eastAsia="zh-CN"/>
        </w:rPr>
        <w:t>配置独立漏保开关，</w:t>
      </w:r>
      <w:r>
        <w:rPr>
          <w:rFonts w:hint="eastAsia" w:ascii="仿宋_GB2312" w:hAnsi="仿宋_GB2312" w:eastAsia="仿宋_GB2312" w:cs="仿宋_GB2312"/>
          <w:color w:val="auto"/>
          <w:sz w:val="32"/>
          <w:szCs w:val="32"/>
          <w:highlight w:val="none"/>
        </w:rPr>
        <w:t>漏电流≤30mA，动作时间不超过0.1s；</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b) 输出短路保护：当输出端短接时，应停止输出，并报警提示；故障排除后，应能正常工作；</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 防雷保护：有完善的雷击浪涌吸收电路，符合GB 50057-2010 建筑物防雷设计规范6.4.4规定的要求。</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 充电过程中，充电连接异常时，充电桩应立即自动切断输出电源，并告警提示。</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 应在负载紧急跳开的情况下确保不损坏电路和元器件；</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6）交流桩输出侧应配置输出</w:t>
      </w:r>
      <w:r>
        <w:rPr>
          <w:rFonts w:hint="eastAsia" w:ascii="仿宋_GB2312" w:hAnsi="仿宋_GB2312" w:eastAsia="仿宋_GB2312" w:cs="仿宋_GB2312"/>
          <w:color w:val="auto"/>
          <w:sz w:val="32"/>
          <w:szCs w:val="32"/>
          <w:highlight w:val="none"/>
          <w:lang w:val="en-US" w:eastAsia="zh-CN"/>
        </w:rPr>
        <w:t>继电</w:t>
      </w:r>
      <w:r>
        <w:rPr>
          <w:rFonts w:hint="eastAsia" w:ascii="仿宋_GB2312" w:hAnsi="仿宋_GB2312" w:eastAsia="仿宋_GB2312" w:cs="仿宋_GB2312"/>
          <w:color w:val="auto"/>
          <w:sz w:val="32"/>
          <w:szCs w:val="32"/>
          <w:highlight w:val="none"/>
        </w:rPr>
        <w:t>器，</w:t>
      </w:r>
      <w:r>
        <w:rPr>
          <w:rFonts w:hint="eastAsia" w:ascii="仿宋_GB2312" w:hAnsi="仿宋_GB2312" w:eastAsia="仿宋_GB2312" w:cs="仿宋_GB2312"/>
          <w:color w:val="auto"/>
          <w:sz w:val="32"/>
          <w:szCs w:val="32"/>
          <w:highlight w:val="none"/>
          <w:lang w:val="en-US" w:eastAsia="zh-CN"/>
        </w:rPr>
        <w:t>单个继电器</w:t>
      </w:r>
      <w:r>
        <w:rPr>
          <w:rFonts w:hint="eastAsia" w:ascii="仿宋_GB2312" w:hAnsi="仿宋_GB2312" w:eastAsia="仿宋_GB2312" w:cs="仿宋_GB2312"/>
          <w:color w:val="auto"/>
          <w:sz w:val="32"/>
          <w:szCs w:val="32"/>
          <w:highlight w:val="none"/>
        </w:rPr>
        <w:t>过载电流应≥</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A。</w:t>
      </w:r>
    </w:p>
    <w:p>
      <w:pPr>
        <w:pStyle w:val="2"/>
        <w:bidi w:val="0"/>
        <w:rPr>
          <w:rFonts w:hint="eastAsia" w:ascii="仿宋_GB2312" w:hAnsi="仿宋_GB2312" w:eastAsia="仿宋_GB2312" w:cs="仿宋_GB2312"/>
          <w:color w:val="auto"/>
          <w:sz w:val="32"/>
          <w:szCs w:val="32"/>
          <w:highlight w:val="none"/>
        </w:rPr>
      </w:pPr>
      <w:bookmarkStart w:id="8" w:name="_Toc98411313"/>
      <w:r>
        <w:rPr>
          <w:rFonts w:hint="eastAsia" w:ascii="仿宋_GB2312" w:hAnsi="仿宋_GB2312" w:eastAsia="仿宋_GB2312" w:cs="仿宋_GB2312"/>
          <w:color w:val="auto"/>
          <w:sz w:val="32"/>
          <w:szCs w:val="32"/>
          <w:highlight w:val="none"/>
        </w:rPr>
        <w:t>外观及结构设计要求</w:t>
      </w:r>
      <w:bookmarkEnd w:id="8"/>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1、外观尺寸及整体结构</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）交流桩应采用防盗设计，桩体配置螺栓和安装背板之间固定。</w:t>
      </w:r>
      <w:r>
        <w:rPr>
          <w:rFonts w:hint="eastAsia" w:ascii="仿宋_GB2312" w:hAnsi="仿宋_GB2312" w:eastAsia="仿宋_GB2312" w:cs="仿宋_GB2312"/>
          <w:color w:val="auto"/>
          <w:sz w:val="32"/>
          <w:szCs w:val="32"/>
          <w:highlight w:val="none"/>
        </w:rPr>
        <w:tab/>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）交流桩本体侧面应配置有急停开关。</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）交流桩壳体应配置计量检定接口、通讯接口、维修调试接口。</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2、涂层及材料要求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1）涂层外观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整体表面应平整无外露锐角，涂层表面应连续、均匀，纹理与相应的标准样板保持一致，且无结瘤、缩孔、起泡、针孔、开裂、剥落、粉化、颗粒、流挂、露底、夹杂脏物等缺陷。</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交流桩壳体应采用</w:t>
      </w:r>
      <w:r>
        <w:rPr>
          <w:rFonts w:hint="eastAsia" w:ascii="仿宋_GB2312" w:hAnsi="仿宋_GB2312" w:eastAsia="仿宋_GB2312" w:cs="仿宋_GB2312"/>
          <w:color w:val="auto"/>
          <w:sz w:val="32"/>
          <w:szCs w:val="32"/>
          <w:highlight w:val="none"/>
          <w:lang w:val="en-US" w:eastAsia="zh-CN"/>
        </w:rPr>
        <w:t>金属</w:t>
      </w:r>
      <w:r>
        <w:rPr>
          <w:rFonts w:hint="eastAsia" w:ascii="仿宋_GB2312" w:hAnsi="仿宋_GB2312" w:eastAsia="仿宋_GB2312" w:cs="仿宋_GB2312"/>
          <w:color w:val="auto"/>
          <w:sz w:val="32"/>
          <w:szCs w:val="32"/>
          <w:highlight w:val="none"/>
        </w:rPr>
        <w:t>材质</w:t>
      </w:r>
      <w:r>
        <w:rPr>
          <w:rFonts w:hint="eastAsia" w:ascii="仿宋_GB2312" w:hAnsi="仿宋_GB2312" w:eastAsia="仿宋_GB2312" w:cs="仿宋_GB2312"/>
          <w:color w:val="auto"/>
          <w:sz w:val="32"/>
          <w:szCs w:val="32"/>
          <w:highlight w:val="none"/>
          <w:lang w:val="en-US" w:eastAsia="zh-CN"/>
        </w:rPr>
        <w:t>或PC塑料材质</w:t>
      </w:r>
      <w:r>
        <w:rPr>
          <w:rFonts w:hint="eastAsia" w:ascii="仿宋_GB2312" w:hAnsi="仿宋_GB2312" w:eastAsia="仿宋_GB2312" w:cs="仿宋_GB2312"/>
          <w:color w:val="auto"/>
          <w:sz w:val="32"/>
          <w:szCs w:val="32"/>
          <w:highlight w:val="none"/>
        </w:rPr>
        <w:t>，厚度不小于1.2mm，用于充电设备的金属材料，在经过或未经过表面处理后，均应具备抵抗腐蚀及电化学反应的能力。</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3）非金属材料零部件（包括绝缘电线、电缆和发泡材料）应为非延燃材料，其燃烧性应能通过阻燃试验的要求。</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 关键器件配置要求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关键电气器件包括：电能计量装置、显示屏、充电枪等，以上器件应符合要求。</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标识标志要求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 在交流桩醒目位置标识相关操作的说明文字及图形。</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 标志标识（含铭牌）应端正牢固，字迹清晰。</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5、其他要求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1）应能保证相应设备顺利安装和便于日常维护操作。</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2）应配置进出线留的足够空间。</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3）过线区应预留足够的过线容量以满足交流桩满配的接线操作要求。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4）过线区应考虑线缆引入、固定和接地时操作的便利性、可更换性和可扩容性，线缆引入孔处应进行密封，防止水和龃齿类动物进入交流桩。</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 机械强度要求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充电桩的壳体在运输或承受冲击载荷后，性能和防护等级应没有降低；门的操作和锁止点应没有受损；不因永久或暂时变形而使带电部分和外壳相接触，不应破坏充电桩电气绝缘性能。</w:t>
      </w:r>
    </w:p>
    <w:p>
      <w:pPr>
        <w:pStyle w:val="2"/>
        <w:bidi w:val="0"/>
        <w:rPr>
          <w:rFonts w:hint="eastAsia" w:ascii="仿宋_GB2312" w:hAnsi="仿宋_GB2312" w:eastAsia="仿宋_GB2312" w:cs="仿宋_GB2312"/>
          <w:color w:val="auto"/>
          <w:sz w:val="32"/>
          <w:szCs w:val="32"/>
          <w:highlight w:val="none"/>
          <w:lang w:val="en-US" w:eastAsia="zh-CN"/>
        </w:rPr>
      </w:pPr>
      <w:bookmarkStart w:id="9" w:name="_Toc98411314"/>
      <w:r>
        <w:rPr>
          <w:rFonts w:hint="eastAsia" w:ascii="仿宋_GB2312" w:hAnsi="仿宋_GB2312" w:eastAsia="仿宋_GB2312" w:cs="仿宋_GB2312"/>
          <w:color w:val="auto"/>
          <w:sz w:val="32"/>
          <w:szCs w:val="32"/>
          <w:highlight w:val="none"/>
          <w:lang w:val="en-US" w:eastAsia="zh-CN"/>
        </w:rPr>
        <w:t xml:space="preserve"> 其它功能要求（</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1、信息交互功能</w:t>
      </w:r>
      <w:bookmarkEnd w:id="9"/>
    </w:p>
    <w:p>
      <w:pPr>
        <w:keepNext w:val="0"/>
        <w:keepLines w:val="0"/>
        <w:pageBreakBefore w:val="0"/>
        <w:numPr>
          <w:ilvl w:val="0"/>
          <w:numId w:val="0"/>
        </w:numPr>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lang w:val="en-US" w:eastAsia="zh-CN" w:bidi="ar-SA"/>
        </w:rPr>
        <w:t>1)</w:t>
      </w:r>
      <w:r>
        <w:rPr>
          <w:rFonts w:hint="eastAsia" w:ascii="仿宋_GB2312" w:hAnsi="仿宋_GB2312" w:eastAsia="仿宋_GB2312" w:cs="仿宋_GB2312"/>
          <w:color w:val="auto"/>
          <w:sz w:val="32"/>
          <w:szCs w:val="32"/>
          <w:highlight w:val="none"/>
        </w:rPr>
        <w:t>充电桩配置4G模块实现无线通讯并预留RJ45以太网接口，实现充电桩与后台监控管理系统之间的信息交互。为保证系统稳定性，充电桩主控制器和4G通信模块必须为同一厂家研发生产。</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2、扩展功能</w:t>
      </w:r>
    </w:p>
    <w:p>
      <w:pPr>
        <w:keepNext w:val="0"/>
        <w:keepLines w:val="0"/>
        <w:pageBreakBefore w:val="0"/>
        <w:widowControl w:val="0"/>
        <w:tabs>
          <w:tab w:val="left" w:pos="0"/>
        </w:tabs>
        <w:kinsoku/>
        <w:wordWrap/>
        <w:overflowPunct/>
        <w:topLinePunct w:val="0"/>
        <w:bidi w:val="0"/>
        <w:adjustRightInd/>
        <w:snapToGrid w:val="0"/>
        <w:spacing w:line="300" w:lineRule="auto"/>
        <w:ind w:firstLine="640" w:firstLineChars="200"/>
        <w:textAlignment w:val="auto"/>
        <w:rPr>
          <w:rFonts w:hint="default" w:eastAsia="宋体"/>
          <w:highlight w:val="none"/>
          <w:lang w:val="en-US" w:eastAsia="zh-CN"/>
        </w:rPr>
      </w:pPr>
      <w:r>
        <w:rPr>
          <w:rFonts w:hint="eastAsia" w:ascii="仿宋_GB2312" w:hAnsi="仿宋_GB2312" w:eastAsia="仿宋_GB2312" w:cs="仿宋_GB2312"/>
          <w:color w:val="auto"/>
          <w:sz w:val="32"/>
          <w:szCs w:val="32"/>
          <w:highlight w:val="none"/>
          <w:lang w:bidi="ar"/>
        </w:rPr>
        <w:t>为适应特定场景用户的需求，所供交流充电桩设备应</w:t>
      </w:r>
      <w:r>
        <w:rPr>
          <w:rFonts w:hint="eastAsia" w:ascii="仿宋_GB2312" w:hAnsi="仿宋_GB2312" w:eastAsia="仿宋_GB2312" w:cs="仿宋_GB2312"/>
          <w:color w:val="auto"/>
          <w:sz w:val="32"/>
          <w:szCs w:val="32"/>
          <w:highlight w:val="none"/>
          <w:lang w:val="en-US" w:eastAsia="zh-CN" w:bidi="ar"/>
        </w:rPr>
        <w:t>支持</w:t>
      </w:r>
      <w:r>
        <w:rPr>
          <w:rFonts w:hint="eastAsia" w:ascii="仿宋_GB2312" w:hAnsi="仿宋_GB2312" w:eastAsia="仿宋_GB2312" w:cs="仿宋_GB2312"/>
          <w:color w:val="auto"/>
          <w:sz w:val="32"/>
          <w:szCs w:val="32"/>
          <w:highlight w:val="none"/>
          <w:lang w:bidi="ar"/>
        </w:rPr>
        <w:t>预留扩展地锁功能，车牌识别功能，无需更换</w:t>
      </w:r>
      <w:r>
        <w:rPr>
          <w:rFonts w:hint="eastAsia" w:ascii="仿宋_GB2312" w:hAnsi="仿宋_GB2312" w:eastAsia="仿宋_GB2312" w:cs="仿宋_GB2312"/>
          <w:color w:val="auto"/>
          <w:sz w:val="32"/>
          <w:szCs w:val="32"/>
          <w:highlight w:val="none"/>
          <w:lang w:val="en-US" w:eastAsia="zh-CN" w:bidi="ar"/>
        </w:rPr>
        <w:t>充电桩</w:t>
      </w:r>
      <w:r>
        <w:rPr>
          <w:rFonts w:hint="eastAsia" w:ascii="仿宋_GB2312" w:hAnsi="仿宋_GB2312" w:eastAsia="仿宋_GB2312" w:cs="仿宋_GB2312"/>
          <w:color w:val="auto"/>
          <w:sz w:val="32"/>
          <w:szCs w:val="32"/>
          <w:highlight w:val="none"/>
          <w:lang w:bidi="ar"/>
        </w:rPr>
        <w:t>设备。</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val="zh-CN" w:bidi="ar"/>
        </w:rPr>
      </w:pPr>
      <w:r>
        <w:rPr>
          <w:rFonts w:hint="eastAsia" w:ascii="仿宋_GB2312" w:hAnsi="仿宋_GB2312" w:eastAsia="仿宋_GB2312" w:cs="仿宋_GB2312"/>
          <w:bCs/>
          <w:sz w:val="32"/>
          <w:szCs w:val="32"/>
          <w:lang w:val="zh-CN" w:bidi="ar"/>
        </w:rPr>
        <w:t>（二）项目实施要求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1.合作模式：服务商负责全额带资建设智能充电桩（含配电系统）及其附属配套（如地面恢复、灭火装置、安全用电警示标示等），提供智能充电桩相应配套运营服务，医院无需支付任何费用。</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2.★合作服务期限：5年，本项目为长期服务项目，服务期满后采购人可根据项目需求和中标供应商的履约情况确定合同期限是否延长，最多续签二次，合同一年一签。</w:t>
      </w:r>
    </w:p>
    <w:p>
      <w:pPr>
        <w:keepNext w:val="0"/>
        <w:keepLines w:val="0"/>
        <w:pageBreakBefore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2.1签订场地使用或租赁合同涉及国有储备用地的，因不可抗力提前收回场地的，甲方无需赔偿。</w:t>
      </w:r>
    </w:p>
    <w:p>
      <w:pPr>
        <w:numPr>
          <w:ilvl w:val="-1"/>
          <w:numId w:val="0"/>
        </w:numPr>
        <w:spacing w:line="360" w:lineRule="auto"/>
        <w:ind w:left="0" w:firstLine="640" w:firstLineChars="200"/>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3.收费模式：</w:t>
      </w:r>
      <w:r>
        <w:rPr>
          <w:rFonts w:hint="eastAsia" w:ascii="仿宋_GB2312" w:hAnsi="仿宋_GB2312" w:eastAsia="仿宋_GB2312" w:cs="仿宋_GB2312"/>
          <w:bCs/>
          <w:color w:val="auto"/>
          <w:sz w:val="32"/>
          <w:szCs w:val="32"/>
          <w:highlight w:val="none"/>
          <w:lang w:val="en-US" w:eastAsia="zh-CN" w:bidi="ar"/>
        </w:rPr>
        <w:t>除基础电费以供电局实际收费为准外，双方享有运营收益分成。如电价变更，则双方另行协商。</w:t>
      </w:r>
      <w:r>
        <w:rPr>
          <w:rFonts w:hint="eastAsia" w:ascii="仿宋_GB2312" w:hAnsi="仿宋_GB2312" w:eastAsia="仿宋_GB2312" w:cs="仿宋_GB2312"/>
          <w:bCs/>
          <w:sz w:val="32"/>
          <w:szCs w:val="32"/>
          <w:highlight w:val="none"/>
          <w:lang w:val="en-US" w:eastAsia="zh-CN" w:bidi="ar"/>
        </w:rPr>
        <w:t>医院有权了解系统的应用程序、操作原理及计费情况，以便监管，保证计费的科学合理，服务商应配合医院的需求如实提供。</w:t>
      </w:r>
    </w:p>
    <w:p>
      <w:pPr>
        <w:numPr>
          <w:ilvl w:val="-1"/>
          <w:numId w:val="0"/>
        </w:numPr>
        <w:spacing w:line="360" w:lineRule="auto"/>
        <w:ind w:left="0" w:firstLine="640" w:firstLineChars="200"/>
        <w:rPr>
          <w:rFonts w:hint="default"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3.1双方以季度为周期结算服务费，经双方确认一致的服务费分成金额，双方在结算单上签字盖章，同时甲方向乙方开具开具正规的增值税发票，乙方在收到发票后15个工作日内将服务费分成支付给甲方要求的帐户。</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4.履约保证函： 服务商需向医院提交</w:t>
      </w:r>
      <w:r>
        <w:commentReference w:id="0"/>
      </w:r>
      <w:r>
        <w:rPr>
          <w:rFonts w:hint="eastAsia" w:ascii="仿宋_GB2312" w:hAnsi="仿宋_GB2312" w:eastAsia="仿宋_GB2312" w:cs="仿宋_GB2312"/>
          <w:bCs/>
          <w:sz w:val="32"/>
          <w:szCs w:val="32"/>
          <w:highlight w:val="none"/>
          <w:lang w:val="en-US" w:eastAsia="zh-CN" w:bidi="ar"/>
        </w:rPr>
        <w:t>1</w:t>
      </w:r>
      <w:r>
        <w:rPr>
          <w:rFonts w:hint="eastAsia" w:ascii="仿宋_GB2312" w:hAnsi="仿宋_GB2312" w:eastAsia="仿宋_GB2312" w:cs="仿宋_GB2312"/>
          <w:bCs/>
          <w:sz w:val="32"/>
          <w:szCs w:val="32"/>
          <w:highlight w:val="yellow"/>
          <w:lang w:val="en-US" w:eastAsia="zh-CN" w:bidi="ar"/>
        </w:rPr>
        <w:t>万元履约</w:t>
      </w:r>
      <w:r>
        <w:rPr>
          <w:rFonts w:hint="eastAsia" w:ascii="仿宋_GB2312" w:hAnsi="仿宋_GB2312" w:eastAsia="仿宋_GB2312" w:cs="仿宋_GB2312"/>
          <w:bCs/>
          <w:sz w:val="32"/>
          <w:szCs w:val="32"/>
          <w:highlight w:val="none"/>
          <w:lang w:val="en-US" w:eastAsia="zh-CN" w:bidi="ar"/>
        </w:rPr>
        <w:t>保函。该保函的有效期从项目合同签订后生效之日起到服务期结束。</w:t>
      </w:r>
      <w:bookmarkStart w:id="10" w:name="_GoBack"/>
      <w:bookmarkEnd w:id="10"/>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color w:val="auto"/>
          <w:sz w:val="32"/>
          <w:szCs w:val="32"/>
          <w:highlight w:val="none"/>
          <w:lang w:val="en-US" w:eastAsia="zh-CN" w:bidi="ar"/>
        </w:rPr>
        <w:t>配电系统需安装计量电表。</w:t>
      </w:r>
      <w:r>
        <w:rPr>
          <w:rFonts w:hint="eastAsia" w:ascii="仿宋_GB2312" w:hAnsi="仿宋_GB2312" w:eastAsia="仿宋_GB2312" w:cs="仿宋_GB2312"/>
          <w:bCs/>
          <w:sz w:val="32"/>
          <w:szCs w:val="32"/>
          <w:highlight w:val="none"/>
          <w:lang w:val="en-US" w:eastAsia="zh-CN" w:bidi="ar"/>
        </w:rPr>
        <w:t>服务商应按要求每月25号前向医院全额支付一个月度的电费，逾期则每日按欠费总额的5‰支付滞纳金，如在催缴函期限内仍未缴纳，则医院有权在有权向保函开立行银行主张索赔，超过30天视同服务商违约，医院有权立即解除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6.拟投入本项目的项目负责人需具备机电工程专业二级建造师资格，拟投入本项目的技术人员需具备国家相关行政主管部门颁发的《特种作业操作证之电力电缆作业》。项目施工前，服务商需向医院提供相关证件复印件并加盖单位公章。</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color w:val="auto"/>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7.★为本项目安装的所有充电桩购买安全保险，包括公</w:t>
      </w:r>
      <w:r>
        <w:rPr>
          <w:rFonts w:hint="eastAsia" w:ascii="仿宋_GB2312" w:hAnsi="仿宋_GB2312" w:eastAsia="仿宋_GB2312" w:cs="仿宋_GB2312"/>
          <w:bCs/>
          <w:color w:val="auto"/>
          <w:sz w:val="32"/>
          <w:szCs w:val="32"/>
          <w:highlight w:val="none"/>
          <w:lang w:val="en-US" w:eastAsia="zh-CN" w:bidi="ar"/>
        </w:rPr>
        <w:t>众责任险以及不少于1000万元的设备责任险。</w:t>
      </w:r>
    </w:p>
    <w:p>
      <w:pPr>
        <w:keepNext w:val="0"/>
        <w:keepLines w:val="0"/>
        <w:pageBreakBefore w:val="0"/>
        <w:kinsoku/>
        <w:wordWrap/>
        <w:overflowPunct/>
        <w:topLinePunct w:val="0"/>
        <w:bidi w:val="0"/>
        <w:snapToGrid/>
        <w:spacing w:line="560" w:lineRule="exact"/>
        <w:ind w:firstLine="640" w:firstLineChars="200"/>
        <w:textAlignment w:val="auto"/>
        <w:rPr>
          <w:rFonts w:ascii="宋体" w:hAnsi="宋体" w:cs="宋体"/>
          <w:bCs/>
          <w:sz w:val="28"/>
          <w:szCs w:val="28"/>
        </w:rPr>
      </w:pPr>
      <w:r>
        <w:rPr>
          <w:rFonts w:hint="eastAsia" w:ascii="仿宋_GB2312" w:hAnsi="仿宋_GB2312" w:eastAsia="仿宋_GB2312" w:cs="仿宋_GB2312"/>
          <w:bCs/>
          <w:sz w:val="32"/>
          <w:szCs w:val="32"/>
          <w:highlight w:val="none"/>
          <w:lang w:val="en-US" w:eastAsia="zh-CN" w:bidi="ar"/>
        </w:rPr>
        <w:t>8.★如双方不再合作，则服务商可在合同期满后一个月内拆除充电桩（因拆除造成路面破碎的情况，应在十个工作日内进行修复,不能按要求及时修复的,则按年总服务费的0.05%支付违约赔偿金。），逾期不拆除的，视为放弃处理权，医院有权对其进行处置，且不需向服务商支付任何费用。</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9.★由服务商投资建设的充电桩等，今后均由服务商承担维修维护责任和维修维护费用，在充电车场发生的消防安全、充电安全责任也全部由服务商承担，并写入合同内加以明确。同时积极配合有关部门的消防或安全检查，对有关安全隐患及时落实整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10.★在建设和运营期间，因有关部门消防或安全监管方面的政策调整，服务商应根据其要求对当前系统/产品更新或升级换代，由此产生的费用医院不予承担，需服务商自行研判和承担。</w:t>
      </w:r>
    </w:p>
    <w:p>
      <w:pPr>
        <w:keepNext w:val="0"/>
        <w:keepLines w:val="0"/>
        <w:pageBreakBefore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11.★甲方需协助乙方办理本项目充电设备专用变压器减免基本电费工作，如无法减免基本电费，变压器基本电费由乙方承担，且由乙方负责变压器和主电缆的维护保养。</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iCs/>
          <w:kern w:val="2"/>
          <w:sz w:val="32"/>
          <w:szCs w:val="32"/>
          <w:lang w:val="zh-CN" w:eastAsia="zh-CN" w:bidi="ar-SA"/>
        </w:rPr>
      </w:pPr>
      <w:r>
        <w:rPr>
          <w:rFonts w:hint="eastAsia" w:ascii="黑体" w:hAnsi="黑体" w:eastAsia="黑体" w:cs="黑体"/>
          <w:iCs/>
          <w:kern w:val="2"/>
          <w:sz w:val="32"/>
          <w:szCs w:val="32"/>
          <w:lang w:val="zh-CN" w:eastAsia="zh-CN" w:bidi="ar-SA"/>
        </w:rPr>
        <w:t>四、服务要求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zh-CN" w:eastAsia="zh-CN" w:bidi="ar"/>
        </w:rPr>
        <w:t>（一）完成时间及实施地点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zh-CN" w:eastAsia="zh-CN" w:bidi="ar"/>
        </w:rPr>
      </w:pPr>
      <w:r>
        <w:rPr>
          <w:rFonts w:hint="eastAsia" w:ascii="仿宋_GB2312" w:hAnsi="仿宋_GB2312" w:eastAsia="仿宋_GB2312" w:cs="仿宋_GB2312"/>
          <w:bCs/>
          <w:sz w:val="32"/>
          <w:szCs w:val="32"/>
          <w:highlight w:val="none"/>
          <w:lang w:val="zh-CN" w:eastAsia="zh-CN" w:bidi="ar"/>
        </w:rPr>
        <w:t>1.完成时间：</w:t>
      </w:r>
      <w:r>
        <w:rPr>
          <w:rFonts w:hint="eastAsia" w:ascii="仿宋_GB2312" w:hAnsi="仿宋_GB2312" w:eastAsia="仿宋_GB2312" w:cs="仿宋_GB2312"/>
          <w:bCs/>
          <w:sz w:val="32"/>
          <w:szCs w:val="32"/>
          <w:highlight w:val="none"/>
          <w:lang w:val="en-US" w:eastAsia="zh-CN" w:bidi="ar"/>
        </w:rPr>
        <w:t>合同签订后50个日历天内完成所有货物安装、调试、联调、培训，达到验收标准。</w:t>
      </w:r>
    </w:p>
    <w:p>
      <w:pPr>
        <w:keepNext w:val="0"/>
        <w:keepLines w:val="0"/>
        <w:pageBreakBefore w:val="0"/>
        <w:kinsoku/>
        <w:wordWrap/>
        <w:overflowPunct/>
        <w:topLinePunct w:val="0"/>
        <w:bidi w:val="0"/>
        <w:snapToGrid/>
        <w:spacing w:line="560" w:lineRule="exact"/>
        <w:ind w:left="638" w:leftChars="304" w:firstLine="0" w:firstLineChars="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zh-CN" w:eastAsia="zh-CN" w:bidi="ar"/>
        </w:rPr>
        <w:t>2.实施地点：</w:t>
      </w:r>
      <w:r>
        <w:rPr>
          <w:rFonts w:hint="eastAsia" w:ascii="仿宋_GB2312" w:hAnsi="仿宋_GB2312" w:eastAsia="仿宋_GB2312" w:cs="仿宋_GB2312"/>
          <w:bCs/>
          <w:sz w:val="32"/>
          <w:szCs w:val="32"/>
          <w:highlight w:val="none"/>
          <w:lang w:val="en-US" w:eastAsia="zh-CN" w:bidi="ar"/>
        </w:rPr>
        <w:t>梅林街道梅坳二路1号深圳市中医肛肠医院（福田）。</w:t>
      </w:r>
    </w:p>
    <w:p>
      <w:pPr>
        <w:keepNext w:val="0"/>
        <w:keepLines w:val="0"/>
        <w:pageBreakBefore w:val="0"/>
        <w:kinsoku/>
        <w:wordWrap/>
        <w:overflowPunct/>
        <w:topLinePunct w:val="0"/>
        <w:bidi w:val="0"/>
        <w:snapToGrid/>
        <w:spacing w:line="560" w:lineRule="exact"/>
        <w:ind w:left="638" w:leftChars="304" w:firstLine="0" w:firstLineChars="0"/>
        <w:textAlignment w:val="auto"/>
        <w:rPr>
          <w:rFonts w:hint="eastAsia" w:ascii="仿宋_GB2312" w:hAnsi="仿宋_GB2312" w:eastAsia="仿宋_GB2312" w:cs="仿宋_GB2312"/>
          <w:bCs/>
          <w:sz w:val="32"/>
          <w:szCs w:val="32"/>
          <w:highlight w:val="none"/>
          <w:lang w:val="zh-CN" w:eastAsia="zh-CN" w:bidi="ar"/>
        </w:rPr>
      </w:pPr>
      <w:r>
        <w:rPr>
          <w:rFonts w:hint="eastAsia" w:ascii="仿宋_GB2312" w:hAnsi="仿宋_GB2312" w:eastAsia="仿宋_GB2312" w:cs="仿宋_GB2312"/>
          <w:bCs/>
          <w:sz w:val="32"/>
          <w:szCs w:val="32"/>
          <w:highlight w:val="none"/>
          <w:lang w:val="en-US" w:eastAsia="zh-CN" w:bidi="ar"/>
        </w:rPr>
        <w:t>3.</w:t>
      </w:r>
      <w:r>
        <w:rPr>
          <w:rFonts w:hint="eastAsia" w:ascii="仿宋_GB2312" w:hAnsi="仿宋_GB2312" w:eastAsia="仿宋_GB2312" w:cs="仿宋_GB2312"/>
          <w:bCs/>
          <w:sz w:val="32"/>
          <w:szCs w:val="32"/>
          <w:highlight w:val="none"/>
          <w:lang w:val="zh-CN" w:eastAsia="zh-CN" w:bidi="ar"/>
        </w:rPr>
        <w:t>因甲方</w:t>
      </w:r>
      <w:r>
        <w:rPr>
          <w:rFonts w:hint="eastAsia" w:ascii="仿宋_GB2312" w:hAnsi="仿宋_GB2312" w:eastAsia="仿宋_GB2312" w:cs="仿宋_GB2312"/>
          <w:bCs/>
          <w:sz w:val="32"/>
          <w:szCs w:val="32"/>
          <w:highlight w:val="none"/>
          <w:lang w:val="en-US" w:eastAsia="zh-CN" w:bidi="ar"/>
        </w:rPr>
        <w:t>人为</w:t>
      </w:r>
      <w:r>
        <w:rPr>
          <w:rFonts w:hint="eastAsia" w:ascii="仿宋_GB2312" w:hAnsi="仿宋_GB2312" w:eastAsia="仿宋_GB2312" w:cs="仿宋_GB2312"/>
          <w:bCs/>
          <w:sz w:val="32"/>
          <w:szCs w:val="32"/>
          <w:highlight w:val="none"/>
          <w:lang w:val="zh-CN" w:eastAsia="zh-CN" w:bidi="ar"/>
        </w:rPr>
        <w:t>原因导致已有安装充电位置迁移的二次施工材料费用由甲方承担，</w:t>
      </w:r>
      <w:r>
        <w:rPr>
          <w:rFonts w:hint="eastAsia" w:ascii="仿宋_GB2312" w:hAnsi="仿宋_GB2312" w:eastAsia="仿宋_GB2312" w:cs="仿宋_GB2312"/>
          <w:bCs/>
          <w:sz w:val="32"/>
          <w:szCs w:val="32"/>
          <w:highlight w:val="none"/>
          <w:lang w:val="en-US" w:eastAsia="zh-CN" w:bidi="ar"/>
        </w:rPr>
        <w:t>环境、政策等非人为因素</w:t>
      </w:r>
      <w:r>
        <w:rPr>
          <w:rFonts w:hint="eastAsia" w:ascii="仿宋_GB2312" w:hAnsi="仿宋_GB2312" w:eastAsia="仿宋_GB2312" w:cs="仿宋_GB2312"/>
          <w:bCs/>
          <w:sz w:val="32"/>
          <w:szCs w:val="32"/>
          <w:highlight w:val="none"/>
          <w:lang w:val="zh-CN" w:eastAsia="zh-CN" w:bidi="ar"/>
        </w:rPr>
        <w:t>导致</w:t>
      </w:r>
      <w:r>
        <w:rPr>
          <w:rFonts w:hint="eastAsia" w:ascii="仿宋_GB2312" w:hAnsi="仿宋_GB2312" w:eastAsia="仿宋_GB2312" w:cs="仿宋_GB2312"/>
          <w:bCs/>
          <w:sz w:val="32"/>
          <w:szCs w:val="32"/>
          <w:highlight w:val="none"/>
          <w:lang w:val="en-US" w:eastAsia="zh-CN" w:bidi="ar"/>
        </w:rPr>
        <w:t>此情况的，由乙方承担</w:t>
      </w:r>
      <w:r>
        <w:rPr>
          <w:rFonts w:hint="eastAsia" w:ascii="仿宋_GB2312" w:hAnsi="仿宋_GB2312" w:eastAsia="仿宋_GB2312" w:cs="仿宋_GB2312"/>
          <w:bCs/>
          <w:sz w:val="32"/>
          <w:szCs w:val="32"/>
          <w:highlight w:val="none"/>
          <w:lang w:val="zh-CN" w:eastAsia="zh-CN" w:bidi="ar"/>
        </w:rPr>
        <w:t>安装充电位置迁移的二次施工材料费用。</w:t>
      </w:r>
    </w:p>
    <w:p>
      <w:pPr>
        <w:pStyle w:val="6"/>
        <w:spacing w:after="60"/>
        <w:rPr>
          <w:rFonts w:hint="default"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w:t>
      </w:r>
      <w:r>
        <w:rPr>
          <w:rFonts w:hint="eastAsia" w:ascii="仿宋_GB2312" w:hAnsi="仿宋_GB2312" w:eastAsia="仿宋_GB2312" w:cs="仿宋_GB2312"/>
          <w:bCs/>
          <w:kern w:val="2"/>
          <w:sz w:val="32"/>
          <w:szCs w:val="32"/>
          <w:highlight w:val="none"/>
          <w:lang w:val="en-US" w:eastAsia="zh-CN" w:bidi="ar"/>
        </w:rPr>
        <w:t>乙方需保证安全文明施工，施工人员安全由乙方负责，同时不得妨碍甲方及其他第三方的正常通行及对场地的正常使用等，施工完毕需清理干净现场。</w:t>
      </w:r>
    </w:p>
    <w:p>
      <w:pPr>
        <w:keepNext w:val="0"/>
        <w:keepLines w:val="0"/>
        <w:pageBreakBefore w:val="0"/>
        <w:kinsoku/>
        <w:wordWrap/>
        <w:overflowPunct/>
        <w:topLinePunct w:val="0"/>
        <w:bidi w:val="0"/>
        <w:snapToGrid/>
        <w:spacing w:line="560" w:lineRule="exact"/>
        <w:ind w:left="638" w:leftChars="304" w:firstLine="0" w:firstLineChars="0"/>
        <w:textAlignment w:val="auto"/>
        <w:rPr>
          <w:rFonts w:hint="eastAsia" w:ascii="仿宋_GB2312" w:hAnsi="仿宋_GB2312" w:eastAsia="仿宋_GB2312" w:cs="仿宋_GB2312"/>
          <w:bCs/>
          <w:sz w:val="32"/>
          <w:szCs w:val="32"/>
          <w:highlight w:val="none"/>
          <w:lang w:val="zh-CN" w:eastAsia="zh-CN" w:bidi="ar"/>
        </w:rPr>
      </w:pPr>
      <w:r>
        <w:rPr>
          <w:rFonts w:hint="eastAsia" w:ascii="仿宋_GB2312" w:hAnsi="仿宋_GB2312" w:eastAsia="仿宋_GB2312" w:cs="仿宋_GB2312"/>
          <w:bCs/>
          <w:sz w:val="32"/>
          <w:szCs w:val="32"/>
          <w:highlight w:val="none"/>
          <w:lang w:val="zh-CN" w:eastAsia="zh-CN" w:bidi="ar"/>
        </w:rPr>
        <w:t>（</w:t>
      </w:r>
      <w:r>
        <w:rPr>
          <w:rFonts w:hint="eastAsia" w:ascii="仿宋_GB2312" w:hAnsi="仿宋_GB2312" w:eastAsia="仿宋_GB2312" w:cs="仿宋_GB2312"/>
          <w:bCs/>
          <w:sz w:val="32"/>
          <w:szCs w:val="32"/>
          <w:highlight w:val="none"/>
          <w:lang w:val="en-US" w:eastAsia="zh-CN" w:bidi="ar"/>
        </w:rPr>
        <w:t>二</w:t>
      </w:r>
      <w:r>
        <w:rPr>
          <w:rFonts w:hint="eastAsia" w:ascii="仿宋_GB2312" w:hAnsi="仿宋_GB2312" w:eastAsia="仿宋_GB2312" w:cs="仿宋_GB2312"/>
          <w:bCs/>
          <w:sz w:val="32"/>
          <w:szCs w:val="32"/>
          <w:highlight w:val="none"/>
          <w:lang w:val="zh-CN" w:eastAsia="zh-CN" w:bidi="ar"/>
        </w:rPr>
        <w:t>）售后服务要求: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服务商安排专业运维服务人员提供日常管理巡查、维修及抢修、处理投诉等服务。由此产生的一切费用（包括人员薪酬、节假日加班费及必要的保险等）均由服务商承担。服务人员工作期间应遵守医院及物业公司的相关规章制度。服务商提供本项目合作周期内全天24小时维修维保及应急处置服务，且故障处理承诺时限至少达到如下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（1）设备发生用电安全事故时，要求服务商当天到达现场及时、科学处理，与医院保持沟通，确保用电安全，尽可能降低损失；事后及时书面报告事故情况说明、配合有关方面调查并承担相应责任；</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设备发生一般故障时，要求服务商当天到达现场处理，小故障处理（如网络故障、更换易损零部件等）时间不得超过24小时；单个充电桩整体无法充电的故障处理时间不得超过12小时；日常维保停用时间不超过6小时。</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2.服务商如发生收购、出让、重组、合并，或诉讼、查封、停业等，须保证本项目有效执行，如导致本项目无法延续的均视为服务商违约。</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 ★违规处罚：</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（1）经有资质的第三方检定系统计费存在偏差超过5%的，履约保函索赔1000元；偏差超过10%的，履约保函索赔2000元；偏差超过15%的，履约保函索赔5000元，且医院有权提前终止合同。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（2）由于服务商责任，导致就充电服务事项进行群体性投诉的，每出现一次即在履约保函索赔3000元。</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（3）服务商对所报各类故障的响应及最后解决超出承诺时限，且导致该区域连续2天可用充电桩数量少于50%，每出现一次即在履约保函索赔1000元。</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（4）服务商拖欠电费超过1个月，视同服务商违约，医院有权立即解除合同。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4.提前终止合同规定：</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（1）由服务商主动提出提前终止合同的，或医院认为由于服务商原因导致合同无法正常履行需提前终止合同的，医院不做任何补偿，充电桩整套设备无偿归医院所有，并索赔全部履约保函金。</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项目在建设和运营过程中发生严重消防/安全事故、不配合有关消防或安全工作检查或在收到安全隐患整改通知书后未及时落实整改的，医院提前终止合同并无需做任何补偿，充电桩整套设备无偿归医院所有，并索赔全部履约保函金。</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（3）被扣减的履约保函金，服务商需无条件在10个工作天内补齐，否则医院有权提前终止合同。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服务商在合同约定期限届满前擅自将充电桩设备作为其它纠纷或者责任的抵押品，或服务商在合同约定期限届满前擅自将经营权转让给其他第三方时，均视为服务商违约，此时医院有权提前终止合同，并索赔全部履约保函金，服务商投入的所有设备归医院所有，并依法追究服务商的相关经济和法律责任。</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5. 由于不可抗力因素造成不能正常履行合同的，医院和服务商双方免责。</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6.医院和服务商在履约中发生争执和分歧，双方应通过友好协商解决，若经协商不能达成协议时，则可以向项目实施地所在地人民法院提起诉讼。受理期间，双方应继续履行合同其余条款。</w:t>
      </w:r>
    </w:p>
    <w:p>
      <w:pPr>
        <w:keepNext w:val="0"/>
        <w:keepLines w:val="0"/>
        <w:pageBreakBefore w:val="0"/>
        <w:kinsoku/>
        <w:wordWrap/>
        <w:overflowPunct/>
        <w:topLinePunct w:val="0"/>
        <w:bidi w:val="0"/>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微信用户" w:date="2024-04-10T08:54:10Z" w:initials="">
    <w:p w14:paraId="60E82978">
      <w:pPr>
        <w:pStyle w:val="3"/>
        <w:rPr>
          <w:rFonts w:hint="default" w:eastAsia="宋体"/>
          <w:lang w:val="en-US" w:eastAsia="zh-CN"/>
        </w:rPr>
      </w:pPr>
      <w:r>
        <w:rPr>
          <w:rFonts w:hint="eastAsia"/>
          <w:lang w:val="en-US" w:eastAsia="zh-CN"/>
        </w:rPr>
        <w:t>建议为5万元银行保函</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E8297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F0617A-2AB8-4436-9CC2-19AED144DC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104DBC8B-24A5-4F7C-B2E7-93391B748DA2}"/>
  </w:font>
  <w:font w:name="方正小标宋简体">
    <w:panose1 w:val="02000000000000000000"/>
    <w:charset w:val="86"/>
    <w:family w:val="auto"/>
    <w:pitch w:val="default"/>
    <w:sig w:usb0="00000001" w:usb1="08000000" w:usb2="00000000" w:usb3="00000000" w:csb0="00040000" w:csb1="00000000"/>
    <w:embedRegular r:id="rId3" w:fontKey="{BCADC408-9FE5-4DC9-BE5C-1CA1B61F1D82}"/>
  </w:font>
  <w:font w:name="仿宋_GB2312">
    <w:panose1 w:val="02010609030101010101"/>
    <w:charset w:val="86"/>
    <w:family w:val="modern"/>
    <w:pitch w:val="default"/>
    <w:sig w:usb0="00000001" w:usb1="080E0000" w:usb2="00000000" w:usb3="00000000" w:csb0="00040000" w:csb1="00000000"/>
    <w:embedRegular r:id="rId4" w:fontKey="{449692E3-493D-467C-89C4-C1067DD1DE12}"/>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0477E"/>
    <w:multiLevelType w:val="multilevel"/>
    <w:tmpl w:val="3CD0477E"/>
    <w:lvl w:ilvl="0" w:tentative="0">
      <w:start w:val="1"/>
      <w:numFmt w:val="decimal"/>
      <w:lvlText w:val="%1)"/>
      <w:lvlJc w:val="left"/>
      <w:pPr>
        <w:ind w:left="1140" w:hanging="420"/>
      </w:pPr>
      <w:rPr>
        <w:rFonts w:hint="default" w:ascii="Times New Roman" w:hAnsi="Times New Roman" w:cs="Times New Roman"/>
      </w:rPr>
    </w:lvl>
    <w:lvl w:ilvl="1" w:tentative="0">
      <w:start w:val="1"/>
      <w:numFmt w:val="lowerLetter"/>
      <w:lvlText w:val="%2)"/>
      <w:lvlJc w:val="left"/>
      <w:pPr>
        <w:ind w:left="1560" w:hanging="420"/>
      </w:pPr>
      <w:rPr>
        <w:rFonts w:hint="default" w:ascii="Times New Roman" w:hAnsi="Times New Roman" w:cs="Times New Roman"/>
      </w:rPr>
    </w:lvl>
    <w:lvl w:ilvl="2" w:tentative="0">
      <w:start w:val="1"/>
      <w:numFmt w:val="lowerRoman"/>
      <w:lvlText w:val="%3."/>
      <w:lvlJc w:val="right"/>
      <w:pPr>
        <w:ind w:left="1980" w:hanging="420"/>
      </w:pPr>
      <w:rPr>
        <w:rFonts w:hint="default" w:ascii="Times New Roman" w:hAnsi="Times New Roman" w:cs="Times New Roman"/>
      </w:rPr>
    </w:lvl>
    <w:lvl w:ilvl="3" w:tentative="0">
      <w:start w:val="1"/>
      <w:numFmt w:val="decimal"/>
      <w:lvlText w:val="%4."/>
      <w:lvlJc w:val="left"/>
      <w:pPr>
        <w:ind w:left="2400" w:hanging="420"/>
      </w:pPr>
      <w:rPr>
        <w:rFonts w:hint="default" w:ascii="Times New Roman" w:hAnsi="Times New Roman" w:cs="Times New Roman"/>
      </w:rPr>
    </w:lvl>
    <w:lvl w:ilvl="4" w:tentative="0">
      <w:start w:val="1"/>
      <w:numFmt w:val="lowerLetter"/>
      <w:lvlText w:val="%5)"/>
      <w:lvlJc w:val="left"/>
      <w:pPr>
        <w:ind w:left="2820" w:hanging="420"/>
      </w:pPr>
      <w:rPr>
        <w:rFonts w:hint="default" w:ascii="Times New Roman" w:hAnsi="Times New Roman" w:cs="Times New Roman"/>
      </w:rPr>
    </w:lvl>
    <w:lvl w:ilvl="5" w:tentative="0">
      <w:start w:val="1"/>
      <w:numFmt w:val="lowerRoman"/>
      <w:lvlText w:val="%6."/>
      <w:lvlJc w:val="right"/>
      <w:pPr>
        <w:ind w:left="3240" w:hanging="420"/>
      </w:pPr>
      <w:rPr>
        <w:rFonts w:hint="default" w:ascii="Times New Roman" w:hAnsi="Times New Roman" w:cs="Times New Roman"/>
      </w:rPr>
    </w:lvl>
    <w:lvl w:ilvl="6" w:tentative="0">
      <w:start w:val="1"/>
      <w:numFmt w:val="decimal"/>
      <w:lvlText w:val="%7."/>
      <w:lvlJc w:val="left"/>
      <w:pPr>
        <w:ind w:left="3660" w:hanging="420"/>
      </w:pPr>
      <w:rPr>
        <w:rFonts w:hint="default" w:ascii="Times New Roman" w:hAnsi="Times New Roman" w:cs="Times New Roman"/>
      </w:rPr>
    </w:lvl>
    <w:lvl w:ilvl="7" w:tentative="0">
      <w:start w:val="1"/>
      <w:numFmt w:val="lowerLetter"/>
      <w:lvlText w:val="%8)"/>
      <w:lvlJc w:val="left"/>
      <w:pPr>
        <w:ind w:left="4080" w:hanging="420"/>
      </w:pPr>
      <w:rPr>
        <w:rFonts w:hint="default" w:ascii="Times New Roman" w:hAnsi="Times New Roman" w:cs="Times New Roman"/>
      </w:rPr>
    </w:lvl>
    <w:lvl w:ilvl="8" w:tentative="0">
      <w:start w:val="1"/>
      <w:numFmt w:val="lowerRoman"/>
      <w:lvlText w:val="%9."/>
      <w:lvlJc w:val="right"/>
      <w:pPr>
        <w:ind w:left="450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7731304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44E55E69"/>
    <w:rsid w:val="0632625C"/>
    <w:rsid w:val="109C2F25"/>
    <w:rsid w:val="11D113E7"/>
    <w:rsid w:val="174D36C8"/>
    <w:rsid w:val="17E969A9"/>
    <w:rsid w:val="188449CB"/>
    <w:rsid w:val="1CFD52CB"/>
    <w:rsid w:val="1D280724"/>
    <w:rsid w:val="1D356066"/>
    <w:rsid w:val="26E054C2"/>
    <w:rsid w:val="27C43035"/>
    <w:rsid w:val="2A241818"/>
    <w:rsid w:val="2CA628E7"/>
    <w:rsid w:val="2D12039F"/>
    <w:rsid w:val="328F5FEE"/>
    <w:rsid w:val="37643EED"/>
    <w:rsid w:val="3B241823"/>
    <w:rsid w:val="3E467EA9"/>
    <w:rsid w:val="40053F18"/>
    <w:rsid w:val="4055628F"/>
    <w:rsid w:val="44E55E69"/>
    <w:rsid w:val="4AEC7F7F"/>
    <w:rsid w:val="50D321B4"/>
    <w:rsid w:val="511741E2"/>
    <w:rsid w:val="60406F34"/>
    <w:rsid w:val="662F4D42"/>
    <w:rsid w:val="6A773014"/>
    <w:rsid w:val="6B5A511C"/>
    <w:rsid w:val="6C3F0686"/>
    <w:rsid w:val="742E37B3"/>
    <w:rsid w:val="7A3B6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widowControl w:val="0"/>
      <w:spacing w:before="260" w:after="260" w:line="415" w:lineRule="auto"/>
      <w:jc w:val="both"/>
      <w:outlineLvl w:val="2"/>
    </w:pPr>
    <w:rPr>
      <w:rFonts w:ascii="Times New Roman" w:hAnsi="Times New Roman"/>
      <w:b/>
      <w:bCs/>
      <w:kern w:val="2"/>
      <w:sz w:val="32"/>
      <w:szCs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next w:val="1"/>
    <w:autoRedefine/>
    <w:qFormat/>
    <w:uiPriority w:val="1"/>
    <w:rPr>
      <w:sz w:val="19"/>
      <w:szCs w:val="19"/>
    </w:rPr>
  </w:style>
  <w:style w:type="paragraph" w:styleId="5">
    <w:name w:val="Body Text Indent"/>
    <w:basedOn w:val="1"/>
    <w:qFormat/>
    <w:uiPriority w:val="0"/>
    <w:pPr>
      <w:spacing w:line="360" w:lineRule="auto"/>
      <w:ind w:firstLine="420" w:firstLineChars="200"/>
    </w:pPr>
  </w:style>
  <w:style w:type="paragraph" w:styleId="6">
    <w:name w:val="Body Text First Indent 2"/>
    <w:basedOn w:val="5"/>
    <w:unhideWhenUsed/>
    <w:qFormat/>
    <w:uiPriority w:val="99"/>
    <w:pPr>
      <w:spacing w:afterLines="25"/>
    </w:pPr>
  </w:style>
  <w:style w:type="paragraph" w:customStyle="1" w:styleId="9">
    <w:name w:val="msolist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5126</Words>
  <Characters>5417</Characters>
  <Lines>0</Lines>
  <Paragraphs>0</Paragraphs>
  <TotalTime>0</TotalTime>
  <ScaleCrop>false</ScaleCrop>
  <LinksUpToDate>false</LinksUpToDate>
  <CharactersWithSpaces>5482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2024-03-13T01:38:00Z</dcterms:created>
  <dc:creator>张云鹏</dc:creator>
  <cp:lastModifiedBy>scott</cp:lastModifiedBy>
  <dcterms:modified xsi:type="dcterms:W3CDTF">2024-06-11T03:27:33Z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E1E3798AE92B4042BF33FE5D6FADD2FE_13</vt:lpwstr>
  </property>
</Properties>
</file>