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4"/>
          <w:szCs w:val="44"/>
        </w:rPr>
      </w:pPr>
      <w:r>
        <w:rPr>
          <w:rFonts w:hint="eastAsia" w:ascii="宋体" w:hAnsi="宋体"/>
          <w:b/>
          <w:color w:val="auto"/>
          <w:sz w:val="44"/>
          <w:szCs w:val="44"/>
        </w:rPr>
        <w:t>深圳市中医肛肠医院（福田）</w:t>
      </w:r>
      <w:r>
        <w:rPr>
          <w:rFonts w:hint="eastAsia" w:ascii="宋体" w:hAnsi="宋体"/>
          <w:b/>
          <w:color w:val="auto"/>
          <w:sz w:val="44"/>
          <w:szCs w:val="44"/>
          <w:lang w:val="en-US" w:eastAsia="zh-CN"/>
        </w:rPr>
        <w:t>2024年</w:t>
      </w:r>
      <w:r>
        <w:rPr>
          <w:rFonts w:hint="eastAsia" w:ascii="宋体" w:hAnsi="宋体"/>
          <w:b/>
          <w:color w:val="auto"/>
          <w:sz w:val="44"/>
          <w:szCs w:val="44"/>
        </w:rPr>
        <w:t>固定资产</w:t>
      </w:r>
      <w:r>
        <w:rPr>
          <w:rFonts w:hint="eastAsia" w:ascii="宋体" w:hAnsi="宋体"/>
          <w:b/>
          <w:color w:val="auto"/>
          <w:sz w:val="44"/>
          <w:szCs w:val="44"/>
          <w:lang w:val="en-US" w:eastAsia="zh-CN"/>
        </w:rPr>
        <w:t>清盘</w:t>
      </w:r>
      <w:r>
        <w:rPr>
          <w:rFonts w:hint="eastAsia" w:ascii="宋体" w:hAnsi="宋体"/>
          <w:b/>
          <w:color w:val="auto"/>
          <w:sz w:val="44"/>
          <w:szCs w:val="44"/>
        </w:rPr>
        <w:t>及历史性债权债务清查项目</w:t>
      </w:r>
    </w:p>
    <w:p>
      <w:pPr>
        <w:jc w:val="center"/>
        <w:rPr>
          <w:rFonts w:ascii="宋体" w:hAnsi="宋体"/>
          <w:b/>
          <w:color w:val="auto"/>
          <w:sz w:val="44"/>
          <w:szCs w:val="44"/>
        </w:rPr>
      </w:pPr>
      <w:r>
        <w:rPr>
          <w:rFonts w:hint="eastAsia" w:ascii="宋体" w:hAnsi="宋体"/>
          <w:b/>
          <w:color w:val="auto"/>
          <w:sz w:val="44"/>
          <w:szCs w:val="44"/>
        </w:rPr>
        <w:t>采购需求书</w:t>
      </w:r>
    </w:p>
    <w:p>
      <w:pPr>
        <w:rPr>
          <w:rFonts w:ascii="宋体" w:hAnsi="宋体"/>
          <w:b/>
          <w:color w:val="auto"/>
          <w:sz w:val="44"/>
          <w:szCs w:val="44"/>
        </w:rPr>
      </w:pPr>
    </w:p>
    <w:p>
      <w:pPr>
        <w:spacing w:line="380" w:lineRule="exact"/>
        <w:ind w:firstLine="420" w:firstLineChars="200"/>
        <w:rPr>
          <w:rFonts w:ascii="宋体" w:hAnsi="宋体"/>
          <w:color w:val="auto"/>
          <w:szCs w:val="21"/>
        </w:rPr>
      </w:pPr>
      <w:r>
        <w:rPr>
          <w:rFonts w:hint="eastAsia" w:ascii="宋体" w:hAnsi="宋体"/>
          <w:color w:val="auto"/>
          <w:szCs w:val="21"/>
        </w:rPr>
        <w:t>一、项目采购背景</w:t>
      </w:r>
    </w:p>
    <w:p>
      <w:pPr>
        <w:spacing w:line="380" w:lineRule="exact"/>
        <w:ind w:firstLine="420" w:firstLineChars="200"/>
        <w:outlineLvl w:val="0"/>
        <w:rPr>
          <w:rFonts w:hint="eastAsia" w:ascii="宋体" w:hAnsi="宋体"/>
          <w:color w:val="auto"/>
          <w:szCs w:val="21"/>
        </w:rPr>
      </w:pPr>
      <w:r>
        <w:rPr>
          <w:rFonts w:hint="eastAsia" w:ascii="宋体" w:hAnsi="宋体"/>
          <w:color w:val="auto"/>
          <w:szCs w:val="21"/>
        </w:rPr>
        <w:t>根据</w:t>
      </w:r>
      <w:r>
        <w:rPr>
          <w:rFonts w:hint="eastAsia" w:ascii="宋体" w:hAnsi="宋体"/>
          <w:color w:val="auto"/>
          <w:szCs w:val="21"/>
          <w:lang w:val="en-US" w:eastAsia="zh-CN"/>
        </w:rPr>
        <w:t>《福田区行政事业性国有资产管理办法》</w:t>
      </w:r>
      <w:r>
        <w:rPr>
          <w:rFonts w:hint="eastAsia" w:ascii="宋体" w:hAnsi="宋体"/>
          <w:color w:val="auto"/>
          <w:szCs w:val="21"/>
          <w:lang w:eastAsia="zh-CN"/>
        </w:rPr>
        <w:t>（</w:t>
      </w:r>
      <w:r>
        <w:rPr>
          <w:rFonts w:hint="eastAsia" w:ascii="宋体" w:hAnsi="宋体"/>
          <w:color w:val="auto"/>
          <w:szCs w:val="21"/>
        </w:rPr>
        <w:t>福财〔2024〕</w:t>
      </w:r>
      <w:r>
        <w:rPr>
          <w:rFonts w:hint="eastAsia" w:ascii="宋体" w:hAnsi="宋体"/>
          <w:color w:val="auto"/>
          <w:szCs w:val="21"/>
          <w:lang w:val="en-US" w:eastAsia="zh-CN"/>
        </w:rPr>
        <w:t>36</w:t>
      </w:r>
      <w:r>
        <w:rPr>
          <w:rFonts w:hint="eastAsia" w:ascii="宋体" w:hAnsi="宋体"/>
          <w:color w:val="auto"/>
          <w:szCs w:val="21"/>
        </w:rPr>
        <w:t>号</w:t>
      </w:r>
      <w:r>
        <w:rPr>
          <w:rFonts w:hint="eastAsia" w:ascii="宋体" w:hAnsi="宋体"/>
          <w:color w:val="auto"/>
          <w:szCs w:val="21"/>
          <w:lang w:eastAsia="zh-CN"/>
        </w:rPr>
        <w:t>）</w:t>
      </w:r>
      <w:r>
        <w:rPr>
          <w:rFonts w:hint="eastAsia" w:ascii="宋体" w:hAnsi="宋体"/>
          <w:color w:val="auto"/>
          <w:szCs w:val="21"/>
        </w:rPr>
        <w:t>等文件精神和《福田区行政事业单位历史性债权债务清查处置实施方案》的部署要求，应聘第三方提供以下服务：</w:t>
      </w:r>
    </w:p>
    <w:p>
      <w:pPr>
        <w:spacing w:line="380" w:lineRule="exact"/>
        <w:ind w:firstLine="420" w:firstLineChars="200"/>
        <w:rPr>
          <w:rFonts w:ascii="宋体" w:hAnsi="宋体"/>
          <w:color w:val="auto"/>
          <w:szCs w:val="21"/>
        </w:rPr>
      </w:pPr>
      <w:r>
        <w:rPr>
          <w:rFonts w:hint="eastAsia" w:ascii="宋体" w:hAnsi="宋体"/>
          <w:color w:val="auto"/>
          <w:szCs w:val="21"/>
        </w:rPr>
        <w:t>1.医院搬迁新址在即，拟</w:t>
      </w:r>
      <w:r>
        <w:rPr>
          <w:rFonts w:hint="eastAsia" w:ascii="宋体" w:hAnsi="宋体"/>
          <w:color w:val="auto"/>
          <w:szCs w:val="21"/>
          <w:lang w:val="en-US" w:eastAsia="zh-CN"/>
        </w:rPr>
        <w:t>在医院搬迁前后分别</w:t>
      </w:r>
      <w:r>
        <w:rPr>
          <w:rFonts w:hint="eastAsia" w:ascii="宋体" w:hAnsi="宋体"/>
          <w:color w:val="auto"/>
          <w:szCs w:val="21"/>
        </w:rPr>
        <w:t>开展</w:t>
      </w:r>
      <w:r>
        <w:rPr>
          <w:rFonts w:hint="eastAsia" w:ascii="宋体" w:hAnsi="宋体"/>
          <w:color w:val="auto"/>
          <w:szCs w:val="21"/>
          <w:lang w:val="en-US" w:eastAsia="zh-CN"/>
        </w:rPr>
        <w:t>全院</w:t>
      </w:r>
      <w:r>
        <w:rPr>
          <w:rFonts w:hint="eastAsia" w:ascii="宋体" w:hAnsi="宋体"/>
          <w:color w:val="auto"/>
          <w:szCs w:val="21"/>
        </w:rPr>
        <w:t>固定资产清查</w:t>
      </w:r>
      <w:r>
        <w:rPr>
          <w:rFonts w:hint="eastAsia" w:ascii="宋体" w:hAnsi="宋体"/>
          <w:color w:val="auto"/>
          <w:szCs w:val="21"/>
          <w:lang w:val="en-US" w:eastAsia="zh-CN"/>
        </w:rPr>
        <w:t>清盘</w:t>
      </w:r>
      <w:r>
        <w:rPr>
          <w:rFonts w:hint="eastAsia" w:ascii="宋体" w:hAnsi="宋体"/>
          <w:color w:val="auto"/>
          <w:szCs w:val="21"/>
        </w:rPr>
        <w:t>，全面掌握并真实反映固定资产的数量、价值和使用状况，确保账账相符、账实相符。</w:t>
      </w:r>
    </w:p>
    <w:p>
      <w:pPr>
        <w:spacing w:line="380" w:lineRule="exact"/>
        <w:ind w:firstLine="420" w:firstLineChars="200"/>
        <w:rPr>
          <w:rFonts w:ascii="宋体" w:hAnsi="宋体"/>
          <w:color w:val="auto"/>
          <w:szCs w:val="21"/>
        </w:rPr>
      </w:pPr>
      <w:r>
        <w:rPr>
          <w:rFonts w:hint="eastAsia" w:ascii="宋体" w:hAnsi="宋体"/>
          <w:color w:val="auto"/>
          <w:szCs w:val="21"/>
        </w:rPr>
        <w:t>2.对</w:t>
      </w:r>
      <w:r>
        <w:rPr>
          <w:rFonts w:hint="eastAsia" w:ascii="宋体" w:hAnsi="宋体"/>
          <w:color w:val="auto"/>
          <w:szCs w:val="21"/>
          <w:lang w:val="en-US" w:eastAsia="zh-CN"/>
        </w:rPr>
        <w:t>历史性债权债务</w:t>
      </w:r>
      <w:r>
        <w:rPr>
          <w:rFonts w:hint="eastAsia" w:ascii="宋体" w:hAnsi="宋体"/>
          <w:color w:val="auto"/>
          <w:szCs w:val="21"/>
        </w:rPr>
        <w:t>余额进行清查核实，及时清理错账、呆账、坏账，确保往来账户的准确性。</w:t>
      </w:r>
    </w:p>
    <w:p>
      <w:pPr>
        <w:pStyle w:val="4"/>
        <w:spacing w:line="380" w:lineRule="exact"/>
        <w:rPr>
          <w:rFonts w:ascii="宋体" w:hAnsi="宋体" w:cs="宋体"/>
          <w:color w:val="auto"/>
          <w:kern w:val="0"/>
          <w:szCs w:val="21"/>
        </w:rPr>
      </w:pPr>
      <w:r>
        <w:rPr>
          <w:rFonts w:hint="eastAsia" w:ascii="宋体" w:hAnsi="宋体" w:cs="宋体"/>
          <w:color w:val="auto"/>
          <w:kern w:val="0"/>
          <w:szCs w:val="21"/>
        </w:rPr>
        <w:t>二、供应商资格要求</w:t>
      </w:r>
    </w:p>
    <w:p>
      <w:pPr>
        <w:pStyle w:val="4"/>
        <w:spacing w:line="380" w:lineRule="exact"/>
        <w:rPr>
          <w:rFonts w:ascii="宋体" w:hAnsi="宋体"/>
          <w:color w:val="auto"/>
          <w:szCs w:val="21"/>
        </w:rPr>
      </w:pPr>
      <w:r>
        <w:rPr>
          <w:rFonts w:hint="eastAsia" w:ascii="宋体" w:hAnsi="宋体"/>
          <w:color w:val="auto"/>
          <w:szCs w:val="21"/>
        </w:rPr>
        <w:t>（一）投标人必须具有独立法人资格或是具有独立承担民事责任能力的其它组织，须提供《营业执照》和《会计师事务所执业许可证》；</w:t>
      </w:r>
    </w:p>
    <w:p>
      <w:pPr>
        <w:spacing w:line="380" w:lineRule="exact"/>
        <w:ind w:firstLine="420" w:firstLineChars="200"/>
        <w:outlineLvl w:val="0"/>
        <w:rPr>
          <w:rFonts w:ascii="宋体" w:hAnsi="宋体"/>
          <w:color w:val="auto"/>
          <w:szCs w:val="21"/>
        </w:rPr>
      </w:pPr>
      <w:r>
        <w:rPr>
          <w:rFonts w:hint="eastAsia" w:ascii="宋体" w:hAnsi="宋体"/>
          <w:color w:val="auto"/>
          <w:szCs w:val="21"/>
        </w:rPr>
        <w:t>（二）投标人必须承诺参与本项目投标前3年内，在经营活动中没有重大违法记录，以及参与本项目采购活动时不存在被有关部门禁止参与政府采购活动且在有效期内的情况（承诺函模板见附件）；</w:t>
      </w:r>
    </w:p>
    <w:p>
      <w:pPr>
        <w:spacing w:line="380" w:lineRule="exact"/>
        <w:ind w:firstLine="420" w:firstLineChars="200"/>
        <w:jc w:val="left"/>
        <w:outlineLvl w:val="0"/>
        <w:rPr>
          <w:rFonts w:ascii="宋体" w:hAnsi="宋体"/>
          <w:color w:val="auto"/>
          <w:szCs w:val="21"/>
        </w:rPr>
      </w:pPr>
      <w:r>
        <w:rPr>
          <w:rFonts w:hint="eastAsia" w:ascii="宋体" w:hAnsi="宋体"/>
          <w:color w:val="auto"/>
          <w:szCs w:val="21"/>
        </w:rPr>
        <w:t>（三）本项目不允许联合体参与投标，不允许分包、转包。</w:t>
      </w:r>
    </w:p>
    <w:p>
      <w:pPr>
        <w:spacing w:line="380" w:lineRule="exact"/>
        <w:ind w:firstLine="420" w:firstLineChars="200"/>
        <w:rPr>
          <w:rFonts w:ascii="宋体" w:hAnsi="宋体"/>
          <w:color w:val="auto"/>
          <w:szCs w:val="21"/>
        </w:rPr>
      </w:pPr>
      <w:r>
        <w:rPr>
          <w:rFonts w:hint="eastAsia" w:ascii="宋体" w:hAnsi="宋体"/>
          <w:color w:val="auto"/>
          <w:szCs w:val="21"/>
        </w:rPr>
        <w:t>（四）中标供应商应在合同执行过程中，保守医院商业机密，自觉维护医院名誉。</w:t>
      </w:r>
    </w:p>
    <w:p>
      <w:pPr>
        <w:spacing w:line="380" w:lineRule="exact"/>
        <w:ind w:firstLine="420" w:firstLineChars="200"/>
        <w:rPr>
          <w:rFonts w:ascii="宋体" w:hAnsi="宋体"/>
          <w:color w:val="auto"/>
          <w:szCs w:val="21"/>
        </w:rPr>
      </w:pPr>
      <w:r>
        <w:rPr>
          <w:rFonts w:hint="eastAsia" w:ascii="宋体" w:hAnsi="宋体"/>
          <w:color w:val="auto"/>
          <w:szCs w:val="21"/>
        </w:rPr>
        <w:t>三、服务内容</w:t>
      </w:r>
    </w:p>
    <w:p>
      <w:pPr>
        <w:spacing w:line="380" w:lineRule="exact"/>
        <w:ind w:firstLine="420" w:firstLineChars="200"/>
        <w:jc w:val="left"/>
        <w:rPr>
          <w:rFonts w:hint="default" w:ascii="宋体" w:hAnsi="宋体" w:eastAsia="宋体" w:cs="Times New Roman"/>
          <w:bCs/>
          <w:color w:val="auto"/>
          <w:szCs w:val="21"/>
          <w:lang w:val="en-US" w:eastAsia="zh-CN"/>
        </w:rPr>
      </w:pPr>
      <w:r>
        <w:rPr>
          <w:rFonts w:hint="eastAsia" w:ascii="宋体" w:hAnsi="宋体" w:eastAsia="宋体" w:cs="Times New Roman"/>
          <w:bCs/>
          <w:color w:val="auto"/>
          <w:szCs w:val="21"/>
          <w:lang w:eastAsia="zh-CN"/>
        </w:rPr>
        <w:t>（</w:t>
      </w:r>
      <w:r>
        <w:rPr>
          <w:rFonts w:hint="eastAsia" w:ascii="宋体" w:hAnsi="宋体" w:eastAsia="宋体" w:cs="Times New Roman"/>
          <w:bCs/>
          <w:color w:val="auto"/>
          <w:szCs w:val="21"/>
          <w:lang w:val="en-US" w:eastAsia="zh-CN"/>
        </w:rPr>
        <w:t>一</w:t>
      </w:r>
      <w:r>
        <w:rPr>
          <w:rFonts w:hint="eastAsia" w:ascii="宋体" w:hAnsi="宋体" w:eastAsia="宋体" w:cs="Times New Roman"/>
          <w:bCs/>
          <w:color w:val="auto"/>
          <w:szCs w:val="21"/>
          <w:lang w:eastAsia="zh-CN"/>
        </w:rPr>
        <w:t>）</w:t>
      </w:r>
      <w:r>
        <w:rPr>
          <w:rFonts w:hint="eastAsia" w:ascii="宋体" w:hAnsi="宋体" w:eastAsia="宋体" w:cs="Times New Roman"/>
          <w:bCs/>
          <w:color w:val="auto"/>
          <w:szCs w:val="21"/>
          <w:lang w:val="en-US" w:eastAsia="zh-CN"/>
        </w:rPr>
        <w:t>固定资产清盘</w:t>
      </w:r>
      <w:r>
        <w:rPr>
          <w:rFonts w:hint="eastAsia" w:ascii="宋体" w:hAnsi="宋体"/>
          <w:color w:val="auto"/>
          <w:szCs w:val="21"/>
          <w:lang w:val="en-US" w:eastAsia="zh-CN"/>
        </w:rPr>
        <w:t>（</w:t>
      </w:r>
      <w:r>
        <w:rPr>
          <w:rFonts w:hint="eastAsia" w:ascii="宋体" w:hAnsi="宋体"/>
          <w:color w:val="auto"/>
          <w:szCs w:val="21"/>
        </w:rPr>
        <w:t>截至2024年5月31日，资产数共1804条</w:t>
      </w:r>
      <w:bookmarkStart w:id="0" w:name="_GoBack"/>
      <w:bookmarkEnd w:id="0"/>
      <w:r>
        <w:rPr>
          <w:rFonts w:hint="eastAsia" w:ascii="宋体" w:hAnsi="宋体"/>
          <w:color w:val="auto"/>
          <w:szCs w:val="21"/>
          <w:lang w:val="en-US" w:eastAsia="zh-CN"/>
        </w:rPr>
        <w:t>）</w:t>
      </w:r>
    </w:p>
    <w:p>
      <w:pPr>
        <w:spacing w:line="380" w:lineRule="exact"/>
        <w:ind w:firstLine="420" w:firstLineChars="200"/>
        <w:jc w:val="left"/>
        <w:rPr>
          <w:rFonts w:ascii="宋体" w:hAnsi="宋体" w:eastAsia="宋体" w:cs="Times New Roman"/>
          <w:bCs/>
          <w:color w:val="auto"/>
          <w:szCs w:val="21"/>
        </w:rPr>
      </w:pPr>
      <w:r>
        <w:rPr>
          <w:rFonts w:hint="eastAsia" w:ascii="宋体" w:hAnsi="宋体" w:eastAsia="宋体" w:cs="Times New Roman"/>
          <w:bCs/>
          <w:color w:val="auto"/>
          <w:szCs w:val="21"/>
        </w:rPr>
        <w:t>1. 清查核实固定资产，</w:t>
      </w:r>
      <w:r>
        <w:rPr>
          <w:rFonts w:hint="eastAsia" w:ascii="宋体" w:hAnsi="宋体" w:eastAsia="宋体" w:cs="Times New Roman"/>
          <w:bCs/>
          <w:color w:val="auto"/>
          <w:szCs w:val="21"/>
          <w:lang w:val="en-US" w:eastAsia="zh-CN"/>
        </w:rPr>
        <w:t>包括数据清理、实物盘点、信息汇总、盘点结果分析、资产系统更新、条码标签打印和粘贴，</w:t>
      </w:r>
      <w:r>
        <w:rPr>
          <w:rFonts w:hint="eastAsia" w:ascii="宋体" w:hAnsi="宋体" w:eastAsia="宋体" w:cs="Times New Roman"/>
          <w:bCs/>
          <w:color w:val="auto"/>
          <w:szCs w:val="21"/>
        </w:rPr>
        <w:t>确保</w:t>
      </w:r>
      <w:r>
        <w:rPr>
          <w:rFonts w:hint="eastAsia" w:ascii="宋体" w:hAnsi="宋体" w:eastAsia="宋体" w:cs="Times New Roman"/>
          <w:bCs/>
          <w:color w:val="auto"/>
          <w:szCs w:val="21"/>
          <w:lang w:val="en-US" w:eastAsia="zh-CN"/>
        </w:rPr>
        <w:t>已</w:t>
      </w:r>
      <w:r>
        <w:rPr>
          <w:rFonts w:hint="eastAsia" w:ascii="宋体" w:hAnsi="宋体" w:eastAsia="宋体" w:cs="Times New Roman"/>
          <w:bCs/>
          <w:color w:val="auto"/>
          <w:szCs w:val="21"/>
        </w:rPr>
        <w:t>按照有关制度规定建立健全固定资产明细账和固定资产卡片，确保每项资产“账、卡、物”相符，并与固定资产账面金额完全一致；</w:t>
      </w:r>
    </w:p>
    <w:p>
      <w:pPr>
        <w:spacing w:line="380" w:lineRule="exact"/>
        <w:ind w:firstLine="420" w:firstLineChars="200"/>
        <w:jc w:val="left"/>
        <w:rPr>
          <w:rFonts w:ascii="宋体" w:hAnsi="宋体" w:eastAsia="宋体" w:cs="Times New Roman"/>
          <w:bCs/>
          <w:color w:val="auto"/>
          <w:szCs w:val="21"/>
        </w:rPr>
      </w:pPr>
      <w:r>
        <w:rPr>
          <w:rFonts w:hint="eastAsia" w:ascii="宋体" w:hAnsi="宋体" w:eastAsia="宋体" w:cs="Times New Roman"/>
          <w:bCs/>
          <w:color w:val="auto"/>
          <w:szCs w:val="21"/>
        </w:rPr>
        <w:t>2. 规范固定资产标签化管理，</w:t>
      </w:r>
      <w:r>
        <w:rPr>
          <w:rFonts w:hint="eastAsia" w:ascii="宋体" w:hAnsi="宋体" w:eastAsia="宋体" w:cs="Times New Roman"/>
          <w:bCs/>
          <w:color w:val="auto"/>
          <w:szCs w:val="21"/>
          <w:lang w:val="en-US" w:eastAsia="zh-CN"/>
        </w:rPr>
        <w:t>提出</w:t>
      </w:r>
      <w:r>
        <w:rPr>
          <w:rFonts w:hint="eastAsia" w:ascii="宋体" w:hAnsi="宋体" w:eastAsia="宋体" w:cs="Times New Roman"/>
          <w:bCs/>
          <w:color w:val="auto"/>
          <w:szCs w:val="21"/>
        </w:rPr>
        <w:t>完善固定资产管理</w:t>
      </w:r>
      <w:r>
        <w:rPr>
          <w:rFonts w:hint="eastAsia" w:ascii="宋体" w:hAnsi="宋体" w:eastAsia="宋体" w:cs="Times New Roman"/>
          <w:bCs/>
          <w:color w:val="auto"/>
          <w:szCs w:val="21"/>
          <w:lang w:val="en-US" w:eastAsia="zh-CN"/>
        </w:rPr>
        <w:t>建议</w:t>
      </w:r>
      <w:r>
        <w:rPr>
          <w:rFonts w:hint="eastAsia" w:ascii="宋体" w:hAnsi="宋体" w:eastAsia="宋体" w:cs="Times New Roman"/>
          <w:bCs/>
          <w:color w:val="auto"/>
          <w:szCs w:val="21"/>
        </w:rPr>
        <w:t>；</w:t>
      </w:r>
    </w:p>
    <w:p>
      <w:pPr>
        <w:spacing w:line="380" w:lineRule="exact"/>
        <w:ind w:left="420" w:leftChars="200"/>
        <w:jc w:val="left"/>
        <w:rPr>
          <w:rFonts w:hint="eastAsia" w:ascii="宋体" w:hAnsi="宋体" w:eastAsia="宋体" w:cs="Times New Roman"/>
          <w:bCs/>
          <w:color w:val="auto"/>
          <w:szCs w:val="21"/>
        </w:rPr>
      </w:pPr>
      <w:r>
        <w:rPr>
          <w:rFonts w:hint="eastAsia" w:ascii="宋体" w:hAnsi="宋体" w:eastAsia="宋体" w:cs="宋体"/>
          <w:bCs/>
          <w:color w:val="auto"/>
          <w:szCs w:val="21"/>
        </w:rPr>
        <w:t xml:space="preserve">3. </w:t>
      </w:r>
      <w:r>
        <w:rPr>
          <w:rFonts w:hint="eastAsia" w:ascii="宋体" w:hAnsi="宋体" w:eastAsia="宋体" w:cs="Times New Roman"/>
          <w:bCs/>
          <w:color w:val="auto"/>
          <w:szCs w:val="21"/>
        </w:rPr>
        <w:t>对资产清查工作中发现的各项盘盈、盘亏、损失等问题，提出处理、改进建议；</w:t>
      </w:r>
    </w:p>
    <w:p>
      <w:pPr>
        <w:spacing w:line="380" w:lineRule="exact"/>
        <w:ind w:left="420" w:leftChars="200"/>
        <w:jc w:val="left"/>
        <w:rPr>
          <w:rFonts w:hint="default" w:ascii="宋体" w:hAnsi="宋体" w:eastAsia="宋体" w:cs="Times New Roman"/>
          <w:bCs/>
          <w:color w:val="auto"/>
          <w:szCs w:val="21"/>
          <w:lang w:val="en-US" w:eastAsia="zh-CN"/>
        </w:rPr>
      </w:pPr>
      <w:r>
        <w:rPr>
          <w:rFonts w:hint="eastAsia" w:ascii="宋体" w:hAnsi="宋体" w:eastAsia="宋体" w:cs="Times New Roman"/>
          <w:bCs/>
          <w:color w:val="auto"/>
          <w:szCs w:val="21"/>
          <w:lang w:val="en-US" w:eastAsia="zh-CN"/>
        </w:rPr>
        <w:t>4. 出具固定资产盘点表、清盘报告。</w:t>
      </w:r>
    </w:p>
    <w:p>
      <w:pPr>
        <w:spacing w:line="380" w:lineRule="exact"/>
        <w:ind w:left="420" w:leftChars="200"/>
        <w:jc w:val="left"/>
        <w:rPr>
          <w:rFonts w:hint="default" w:ascii="宋体" w:hAnsi="宋体" w:eastAsia="宋体" w:cs="宋体"/>
          <w:bCs/>
          <w:color w:val="auto"/>
          <w:szCs w:val="21"/>
          <w:lang w:val="en-US" w:eastAsia="zh-CN"/>
        </w:rPr>
      </w:pP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二</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历史性债权债务清理</w:t>
      </w:r>
    </w:p>
    <w:p>
      <w:pPr>
        <w:spacing w:line="380" w:lineRule="exact"/>
        <w:ind w:left="420" w:leftChars="200"/>
        <w:jc w:val="left"/>
        <w:rPr>
          <w:rFonts w:hint="eastAsia" w:ascii="宋体" w:hAnsi="宋体" w:eastAsia="宋体" w:cs="宋体"/>
          <w:bCs/>
          <w:color w:val="auto"/>
          <w:szCs w:val="21"/>
          <w:lang w:eastAsia="zh-CN"/>
        </w:rPr>
      </w:pPr>
      <w:r>
        <w:rPr>
          <w:rFonts w:hint="eastAsia" w:ascii="宋体" w:hAnsi="宋体" w:eastAsia="宋体" w:cs="宋体"/>
          <w:bCs/>
          <w:color w:val="auto"/>
          <w:szCs w:val="21"/>
          <w:lang w:val="en-US" w:eastAsia="zh-CN"/>
        </w:rPr>
        <w:t xml:space="preserve">1. </w:t>
      </w:r>
      <w:r>
        <w:rPr>
          <w:rFonts w:hint="eastAsia" w:ascii="宋体" w:hAnsi="宋体" w:eastAsia="宋体" w:cs="宋体"/>
          <w:bCs/>
          <w:color w:val="auto"/>
          <w:szCs w:val="21"/>
        </w:rPr>
        <w:t>对基准日指定往来账户余额进行清查核实，及时清理错账、呆账、坏账</w:t>
      </w:r>
      <w:r>
        <w:rPr>
          <w:rFonts w:hint="eastAsia" w:ascii="宋体" w:hAnsi="宋体" w:eastAsia="宋体" w:cs="宋体"/>
          <w:bCs/>
          <w:color w:val="auto"/>
          <w:szCs w:val="21"/>
          <w:lang w:eastAsia="zh-CN"/>
        </w:rPr>
        <w:t>；</w:t>
      </w:r>
    </w:p>
    <w:p>
      <w:pPr>
        <w:spacing w:line="380" w:lineRule="exact"/>
        <w:ind w:left="420" w:leftChars="200"/>
        <w:jc w:val="left"/>
        <w:rPr>
          <w:rFonts w:hint="eastAsia" w:ascii="宋体" w:hAnsi="宋体" w:eastAsia="宋体" w:cs="Times New Roman"/>
          <w:bCs/>
          <w:color w:val="auto"/>
          <w:szCs w:val="21"/>
        </w:rPr>
      </w:pPr>
      <w:r>
        <w:rPr>
          <w:rFonts w:hint="eastAsia" w:ascii="宋体" w:hAnsi="宋体" w:eastAsia="宋体" w:cs="宋体"/>
          <w:bCs/>
          <w:color w:val="auto"/>
          <w:szCs w:val="21"/>
          <w:lang w:val="en-US" w:eastAsia="zh-CN"/>
        </w:rPr>
        <w:t xml:space="preserve">2. </w:t>
      </w:r>
      <w:r>
        <w:rPr>
          <w:rFonts w:hint="eastAsia" w:ascii="宋体" w:hAnsi="宋体" w:eastAsia="宋体" w:cs="Times New Roman"/>
          <w:bCs/>
          <w:color w:val="auto"/>
          <w:szCs w:val="21"/>
        </w:rPr>
        <w:t>对</w:t>
      </w:r>
      <w:r>
        <w:rPr>
          <w:rFonts w:hint="eastAsia" w:ascii="宋体" w:hAnsi="宋体" w:eastAsia="宋体" w:cs="Times New Roman"/>
          <w:bCs/>
          <w:color w:val="auto"/>
          <w:szCs w:val="21"/>
          <w:lang w:val="en-US" w:eastAsia="zh-CN"/>
        </w:rPr>
        <w:t>债权债务清查</w:t>
      </w:r>
      <w:r>
        <w:rPr>
          <w:rFonts w:hint="eastAsia" w:ascii="宋体" w:hAnsi="宋体" w:eastAsia="宋体" w:cs="Times New Roman"/>
          <w:bCs/>
          <w:color w:val="auto"/>
          <w:szCs w:val="21"/>
        </w:rPr>
        <w:t>工作中发现的</w:t>
      </w:r>
      <w:r>
        <w:rPr>
          <w:rFonts w:hint="eastAsia" w:ascii="宋体" w:hAnsi="宋体" w:eastAsia="宋体" w:cs="Times New Roman"/>
          <w:bCs/>
          <w:color w:val="auto"/>
          <w:szCs w:val="21"/>
          <w:lang w:val="en-US" w:eastAsia="zh-CN"/>
        </w:rPr>
        <w:t>管理问题</w:t>
      </w:r>
      <w:r>
        <w:rPr>
          <w:rFonts w:hint="eastAsia" w:ascii="宋体" w:hAnsi="宋体" w:eastAsia="宋体" w:cs="Times New Roman"/>
          <w:bCs/>
          <w:color w:val="auto"/>
          <w:szCs w:val="21"/>
        </w:rPr>
        <w:t>，提出</w:t>
      </w:r>
      <w:r>
        <w:rPr>
          <w:rFonts w:hint="eastAsia" w:ascii="宋体" w:hAnsi="宋体" w:eastAsia="宋体" w:cs="Times New Roman"/>
          <w:bCs/>
          <w:color w:val="auto"/>
          <w:szCs w:val="21"/>
          <w:lang w:val="en-US" w:eastAsia="zh-CN"/>
        </w:rPr>
        <w:t>改进工作建议</w:t>
      </w:r>
      <w:r>
        <w:rPr>
          <w:rFonts w:hint="eastAsia" w:ascii="宋体" w:hAnsi="宋体" w:eastAsia="宋体" w:cs="Times New Roman"/>
          <w:bCs/>
          <w:color w:val="auto"/>
          <w:szCs w:val="21"/>
        </w:rPr>
        <w:t>；</w:t>
      </w:r>
    </w:p>
    <w:p>
      <w:pPr>
        <w:spacing w:line="380" w:lineRule="exact"/>
        <w:ind w:left="420" w:leftChars="200"/>
        <w:jc w:val="left"/>
        <w:rPr>
          <w:rFonts w:hint="eastAsia" w:ascii="宋体" w:hAnsi="宋体" w:eastAsia="宋体" w:cs="Times New Roman"/>
          <w:bCs/>
          <w:color w:val="auto"/>
          <w:szCs w:val="21"/>
        </w:rPr>
      </w:pPr>
      <w:r>
        <w:rPr>
          <w:rFonts w:hint="eastAsia" w:ascii="宋体" w:hAnsi="宋体" w:eastAsia="宋体" w:cs="Times New Roman"/>
          <w:bCs/>
          <w:color w:val="auto"/>
          <w:szCs w:val="21"/>
          <w:lang w:val="en-US" w:eastAsia="zh-CN"/>
        </w:rPr>
        <w:t xml:space="preserve">3. </w:t>
      </w:r>
      <w:r>
        <w:rPr>
          <w:rFonts w:hint="eastAsia" w:ascii="宋体" w:hAnsi="宋体" w:eastAsia="宋体" w:cs="Times New Roman"/>
          <w:bCs/>
          <w:color w:val="auto"/>
          <w:szCs w:val="21"/>
        </w:rPr>
        <w:t>对</w:t>
      </w:r>
      <w:r>
        <w:rPr>
          <w:rFonts w:hint="eastAsia" w:ascii="宋体" w:hAnsi="宋体" w:eastAsia="宋体" w:cs="Times New Roman"/>
          <w:bCs/>
          <w:color w:val="auto"/>
          <w:szCs w:val="21"/>
          <w:lang w:val="en-US" w:eastAsia="zh-CN"/>
        </w:rPr>
        <w:t>错账、呆账、坏账</w:t>
      </w:r>
      <w:r>
        <w:rPr>
          <w:rFonts w:hint="eastAsia" w:ascii="宋体" w:hAnsi="宋体" w:eastAsia="宋体" w:cs="Times New Roman"/>
          <w:bCs/>
          <w:color w:val="auto"/>
          <w:szCs w:val="21"/>
        </w:rPr>
        <w:t>，提出处理、改进建议；</w:t>
      </w:r>
    </w:p>
    <w:p>
      <w:pPr>
        <w:spacing w:line="380" w:lineRule="exact"/>
        <w:ind w:left="420" w:leftChars="200"/>
        <w:jc w:val="left"/>
        <w:rPr>
          <w:rFonts w:hint="default" w:ascii="宋体" w:hAnsi="宋体" w:eastAsia="宋体" w:cs="Times New Roman"/>
          <w:bCs/>
          <w:color w:val="auto"/>
          <w:szCs w:val="21"/>
          <w:lang w:val="en-US" w:eastAsia="zh-CN"/>
        </w:rPr>
      </w:pPr>
      <w:r>
        <w:rPr>
          <w:rFonts w:hint="eastAsia" w:ascii="宋体" w:hAnsi="宋体" w:eastAsia="宋体" w:cs="Times New Roman"/>
          <w:bCs/>
          <w:color w:val="auto"/>
          <w:szCs w:val="21"/>
          <w:lang w:val="en-US" w:eastAsia="zh-CN"/>
        </w:rPr>
        <w:t>4. 出具历史性债权债务清查审计报告。</w:t>
      </w:r>
    </w:p>
    <w:p>
      <w:pPr>
        <w:pStyle w:val="4"/>
        <w:spacing w:line="380" w:lineRule="exact"/>
        <w:jc w:val="left"/>
        <w:rPr>
          <w:rFonts w:ascii="宋体" w:hAnsi="宋体"/>
          <w:color w:val="auto"/>
          <w:szCs w:val="21"/>
        </w:rPr>
      </w:pPr>
      <w:r>
        <w:rPr>
          <w:rFonts w:hint="eastAsia" w:ascii="宋体" w:hAnsi="宋体" w:eastAsia="宋体" w:cs="Times New Roman"/>
          <w:bCs/>
          <w:color w:val="auto"/>
          <w:szCs w:val="21"/>
        </w:rPr>
        <w:t>四、</w:t>
      </w:r>
      <w:r>
        <w:rPr>
          <w:rFonts w:hint="eastAsia" w:ascii="宋体" w:hAnsi="宋体"/>
          <w:color w:val="auto"/>
          <w:szCs w:val="21"/>
        </w:rPr>
        <w:t>人员要求</w:t>
      </w:r>
    </w:p>
    <w:p>
      <w:pPr>
        <w:pStyle w:val="4"/>
        <w:spacing w:line="380" w:lineRule="exact"/>
        <w:jc w:val="left"/>
        <w:rPr>
          <w:rFonts w:ascii="宋体" w:hAnsi="宋体"/>
          <w:bCs/>
          <w:color w:val="auto"/>
          <w:szCs w:val="21"/>
        </w:rPr>
      </w:pPr>
      <w:r>
        <w:rPr>
          <w:rFonts w:hint="eastAsia" w:ascii="宋体" w:hAnsi="宋体"/>
          <w:bCs/>
          <w:color w:val="auto"/>
          <w:szCs w:val="21"/>
        </w:rPr>
        <w:t>（一）合同签订后，组建项目团队，团队中至少一名注册会计师；</w:t>
      </w:r>
    </w:p>
    <w:p>
      <w:pPr>
        <w:spacing w:line="380" w:lineRule="exact"/>
        <w:ind w:firstLine="420" w:firstLineChars="200"/>
        <w:rPr>
          <w:rFonts w:ascii="宋体" w:hAnsi="宋体"/>
          <w:bCs/>
          <w:color w:val="auto"/>
          <w:szCs w:val="21"/>
        </w:rPr>
      </w:pPr>
      <w:r>
        <w:rPr>
          <w:rFonts w:hint="eastAsia" w:ascii="宋体" w:hAnsi="宋体"/>
          <w:bCs/>
          <w:color w:val="auto"/>
          <w:szCs w:val="21"/>
        </w:rPr>
        <w:t>（二）其他项目组成员需具有同类项目工作经验，专业能力强。</w:t>
      </w:r>
    </w:p>
    <w:p>
      <w:pPr>
        <w:spacing w:line="380" w:lineRule="exact"/>
        <w:ind w:firstLine="420" w:firstLineChars="200"/>
        <w:rPr>
          <w:rFonts w:ascii="宋体" w:hAnsi="宋体" w:cs="宋体"/>
          <w:bCs/>
          <w:color w:val="auto"/>
          <w:kern w:val="0"/>
          <w:szCs w:val="21"/>
        </w:rPr>
      </w:pPr>
      <w:r>
        <w:rPr>
          <w:rFonts w:hint="eastAsia" w:ascii="宋体" w:hAnsi="宋体"/>
          <w:bCs/>
          <w:color w:val="auto"/>
          <w:szCs w:val="21"/>
        </w:rPr>
        <w:t>五、</w:t>
      </w:r>
      <w:r>
        <w:rPr>
          <w:rFonts w:hint="eastAsia" w:ascii="宋体" w:hAnsi="宋体" w:cs="宋体"/>
          <w:bCs/>
          <w:color w:val="auto"/>
          <w:kern w:val="0"/>
          <w:szCs w:val="21"/>
        </w:rPr>
        <w:t>成果要求</w:t>
      </w:r>
    </w:p>
    <w:p>
      <w:pPr>
        <w:spacing w:line="380" w:lineRule="exact"/>
        <w:ind w:firstLine="420" w:firstLineChars="200"/>
        <w:rPr>
          <w:rFonts w:hint="default" w:ascii="宋体" w:hAnsi="宋体" w:eastAsiaTheme="minorEastAsia"/>
          <w:bCs/>
          <w:color w:val="auto"/>
          <w:szCs w:val="21"/>
          <w:lang w:val="en-US" w:eastAsia="zh-CN"/>
        </w:rPr>
      </w:pPr>
      <w:r>
        <w:rPr>
          <w:rFonts w:hint="eastAsia" w:ascii="宋体" w:hAnsi="宋体"/>
          <w:bCs/>
          <w:color w:val="auto"/>
          <w:szCs w:val="21"/>
        </w:rPr>
        <w:t>出具固定资产盘点</w:t>
      </w:r>
      <w:r>
        <w:rPr>
          <w:rFonts w:hint="eastAsia" w:ascii="宋体" w:hAnsi="宋体"/>
          <w:bCs/>
          <w:color w:val="auto"/>
          <w:szCs w:val="21"/>
          <w:lang w:val="en-US" w:eastAsia="zh-CN"/>
        </w:rPr>
        <w:t>表、清盘报告，其中清盘报告在搬迁前的盘点工作结束后提供；出具</w:t>
      </w:r>
      <w:r>
        <w:rPr>
          <w:rFonts w:hint="eastAsia" w:ascii="宋体" w:hAnsi="宋体" w:eastAsia="宋体" w:cs="Times New Roman"/>
          <w:bCs/>
          <w:color w:val="auto"/>
          <w:szCs w:val="21"/>
          <w:lang w:val="en-US" w:eastAsia="zh-CN"/>
        </w:rPr>
        <w:t>历史性债权债务</w:t>
      </w:r>
      <w:r>
        <w:rPr>
          <w:rFonts w:hint="eastAsia" w:ascii="宋体" w:hAnsi="宋体"/>
          <w:bCs/>
          <w:color w:val="auto"/>
          <w:szCs w:val="21"/>
        </w:rPr>
        <w:t>清查专项审计报告。</w:t>
      </w:r>
    </w:p>
    <w:p>
      <w:pPr>
        <w:numPr>
          <w:ilvl w:val="255"/>
          <w:numId w:val="0"/>
        </w:numPr>
        <w:spacing w:line="380" w:lineRule="exact"/>
        <w:ind w:firstLine="420" w:firstLineChars="200"/>
        <w:rPr>
          <w:rFonts w:ascii="宋体" w:hAnsi="宋体"/>
          <w:bCs/>
          <w:color w:val="auto"/>
          <w:szCs w:val="21"/>
        </w:rPr>
      </w:pPr>
      <w:r>
        <w:rPr>
          <w:rFonts w:hint="eastAsia" w:ascii="宋体" w:hAnsi="宋体"/>
          <w:bCs/>
          <w:color w:val="auto"/>
          <w:szCs w:val="21"/>
        </w:rPr>
        <w:t>六、报价要求</w:t>
      </w:r>
    </w:p>
    <w:p>
      <w:pPr>
        <w:spacing w:line="380" w:lineRule="exact"/>
        <w:ind w:firstLine="420" w:firstLineChars="200"/>
        <w:rPr>
          <w:rFonts w:hint="eastAsia" w:ascii="宋体" w:hAnsi="宋体"/>
          <w:bCs/>
          <w:color w:val="auto"/>
          <w:szCs w:val="21"/>
        </w:rPr>
      </w:pPr>
      <w:r>
        <w:rPr>
          <w:rFonts w:hint="eastAsia" w:ascii="宋体" w:hAnsi="宋体"/>
          <w:bCs/>
          <w:color w:val="auto"/>
          <w:szCs w:val="21"/>
          <w:lang w:val="en-US" w:eastAsia="zh-CN"/>
        </w:rPr>
        <w:t>参加采购活动报价应为人民币含税全包价，并相应提交服务方案。本项目最高限价为人民币5</w:t>
      </w:r>
      <w:r>
        <w:rPr>
          <w:rFonts w:hint="eastAsia" w:ascii="宋体" w:hAnsi="宋体"/>
          <w:bCs/>
          <w:color w:val="auto"/>
          <w:szCs w:val="21"/>
        </w:rPr>
        <w:t>万元，投标</w:t>
      </w:r>
      <w:r>
        <w:rPr>
          <w:rFonts w:hint="eastAsia" w:ascii="宋体" w:hAnsi="宋体"/>
          <w:bCs/>
          <w:color w:val="auto"/>
          <w:szCs w:val="21"/>
          <w:lang w:val="en-US" w:eastAsia="zh-CN"/>
        </w:rPr>
        <w:t>报销不得高于最高限价，否则</w:t>
      </w:r>
      <w:r>
        <w:rPr>
          <w:rFonts w:hint="eastAsia" w:ascii="宋体" w:hAnsi="宋体"/>
          <w:bCs/>
          <w:color w:val="auto"/>
          <w:szCs w:val="21"/>
        </w:rPr>
        <w:t>为无效投标。</w:t>
      </w:r>
    </w:p>
    <w:p>
      <w:pPr>
        <w:spacing w:line="380" w:lineRule="exact"/>
        <w:ind w:firstLine="420" w:firstLineChars="200"/>
        <w:rPr>
          <w:rFonts w:ascii="宋体" w:hAnsi="宋体"/>
          <w:bCs/>
          <w:color w:val="auto"/>
          <w:szCs w:val="21"/>
        </w:rPr>
      </w:pPr>
      <w:r>
        <w:rPr>
          <w:rFonts w:hint="eastAsia" w:ascii="宋体" w:hAnsi="宋体"/>
          <w:bCs/>
          <w:color w:val="auto"/>
          <w:szCs w:val="21"/>
        </w:rPr>
        <w:t>七、付款方式</w:t>
      </w:r>
    </w:p>
    <w:p>
      <w:pPr>
        <w:spacing w:line="380" w:lineRule="exact"/>
        <w:rPr>
          <w:rFonts w:ascii="宋体" w:hAnsi="宋体" w:cs="宋体"/>
          <w:color w:val="auto"/>
          <w:kern w:val="0"/>
          <w:szCs w:val="21"/>
        </w:rPr>
      </w:pPr>
      <w:r>
        <w:rPr>
          <w:rFonts w:hint="eastAsia" w:ascii="宋体" w:hAnsi="宋体" w:cs="宋体"/>
          <w:color w:val="auto"/>
          <w:kern w:val="0"/>
          <w:szCs w:val="21"/>
        </w:rPr>
        <w:t xml:space="preserve">    （一）合同签订后，采购方在收到中标方开具的等额发票后，在</w:t>
      </w:r>
      <w:r>
        <w:rPr>
          <w:rFonts w:hint="eastAsia" w:ascii="宋体" w:hAnsi="宋体" w:cs="宋体"/>
          <w:color w:val="auto"/>
          <w:kern w:val="0"/>
          <w:szCs w:val="21"/>
          <w:lang w:val="en-US" w:eastAsia="zh-CN"/>
        </w:rPr>
        <w:t>15</w:t>
      </w:r>
      <w:r>
        <w:rPr>
          <w:rFonts w:hint="eastAsia" w:ascii="宋体" w:hAnsi="宋体" w:cs="宋体"/>
          <w:color w:val="auto"/>
          <w:kern w:val="0"/>
          <w:szCs w:val="21"/>
        </w:rPr>
        <w:t>日内向中标方支付合同总价</w:t>
      </w:r>
      <w:r>
        <w:rPr>
          <w:rFonts w:hint="eastAsia" w:ascii="宋体" w:hAnsi="宋体" w:cs="宋体"/>
          <w:color w:val="auto"/>
          <w:kern w:val="0"/>
          <w:szCs w:val="21"/>
          <w:u w:val="single"/>
        </w:rPr>
        <w:t>50</w:t>
      </w:r>
      <w:r>
        <w:rPr>
          <w:rFonts w:hint="eastAsia" w:ascii="宋体" w:hAnsi="宋体" w:cs="宋体"/>
          <w:color w:val="auto"/>
          <w:kern w:val="0"/>
          <w:szCs w:val="21"/>
        </w:rPr>
        <w:t>%的款项；</w:t>
      </w:r>
    </w:p>
    <w:p>
      <w:pPr>
        <w:spacing w:line="380" w:lineRule="exact"/>
        <w:ind w:firstLine="420" w:firstLineChars="200"/>
        <w:rPr>
          <w:rFonts w:hAnsi="宋体" w:cs="宋体"/>
          <w:color w:val="auto"/>
        </w:rPr>
      </w:pPr>
      <w:r>
        <w:rPr>
          <w:rFonts w:hint="eastAsia" w:ascii="宋体" w:hAnsi="宋体" w:cs="宋体"/>
          <w:color w:val="auto"/>
          <w:kern w:val="0"/>
          <w:szCs w:val="21"/>
        </w:rPr>
        <w:t>（二）</w:t>
      </w:r>
      <w:r>
        <w:rPr>
          <w:rFonts w:hint="eastAsia" w:ascii="宋体" w:hAnsi="宋体" w:cs="宋体"/>
          <w:color w:val="auto"/>
          <w:kern w:val="0"/>
          <w:szCs w:val="21"/>
          <w:lang w:val="en-US" w:eastAsia="zh-CN"/>
        </w:rPr>
        <w:t>中标方完成所有服务内容</w:t>
      </w:r>
      <w:r>
        <w:rPr>
          <w:rFonts w:hint="eastAsia"/>
          <w:color w:val="auto"/>
          <w:lang w:val="en-US" w:eastAsia="zh-CN"/>
        </w:rPr>
        <w:t>，经采购方验收通过后，采购方在收到合法等额有效发票15日内</w:t>
      </w:r>
      <w:r>
        <w:rPr>
          <w:rFonts w:hint="eastAsia"/>
          <w:color w:val="auto"/>
        </w:rPr>
        <w:t>支付</w:t>
      </w:r>
      <w:r>
        <w:rPr>
          <w:rFonts w:hint="eastAsia" w:ascii="宋体" w:hAnsi="宋体" w:cs="宋体"/>
          <w:color w:val="auto"/>
          <w:kern w:val="0"/>
          <w:szCs w:val="21"/>
        </w:rPr>
        <w:t>合同总价</w:t>
      </w:r>
      <w:r>
        <w:rPr>
          <w:rFonts w:hint="eastAsia"/>
          <w:color w:val="auto"/>
          <w:lang w:val="en-US" w:eastAsia="zh-CN"/>
        </w:rPr>
        <w:t>剩余</w:t>
      </w:r>
      <w:r>
        <w:rPr>
          <w:rFonts w:hint="eastAsia" w:ascii="宋体" w:hAnsi="宋体" w:cs="宋体"/>
          <w:color w:val="auto"/>
          <w:kern w:val="0"/>
          <w:szCs w:val="21"/>
          <w:u w:val="single"/>
        </w:rPr>
        <w:t>50</w:t>
      </w:r>
      <w:r>
        <w:rPr>
          <w:rFonts w:hint="eastAsia" w:ascii="宋体" w:hAnsi="宋体" w:cs="宋体"/>
          <w:color w:val="auto"/>
          <w:kern w:val="0"/>
          <w:szCs w:val="21"/>
        </w:rPr>
        <w:t>%的款项</w:t>
      </w:r>
      <w:r>
        <w:rPr>
          <w:rFonts w:hint="eastAsia" w:hAnsi="宋体" w:cs="宋体"/>
          <w:color w:val="auto"/>
        </w:rPr>
        <w:t>。</w:t>
      </w:r>
    </w:p>
    <w:p>
      <w:pPr>
        <w:numPr>
          <w:ilvl w:val="255"/>
          <w:numId w:val="0"/>
        </w:numPr>
        <w:spacing w:line="380" w:lineRule="exact"/>
        <w:ind w:firstLine="420" w:firstLineChars="200"/>
        <w:rPr>
          <w:rFonts w:ascii="宋体" w:hAnsi="宋体"/>
          <w:bCs/>
          <w:color w:val="auto"/>
          <w:szCs w:val="21"/>
        </w:rPr>
      </w:pPr>
      <w:r>
        <w:rPr>
          <w:rFonts w:hint="eastAsia" w:ascii="宋体" w:hAnsi="宋体"/>
          <w:bCs/>
          <w:color w:val="auto"/>
          <w:szCs w:val="21"/>
        </w:rPr>
        <w:t>八、服务地点</w:t>
      </w:r>
    </w:p>
    <w:p>
      <w:pPr>
        <w:spacing w:line="380" w:lineRule="exact"/>
        <w:ind w:firstLine="420" w:firstLineChars="200"/>
        <w:rPr>
          <w:rFonts w:ascii="宋体" w:hAnsi="宋体" w:cs="宋体"/>
          <w:color w:val="auto"/>
          <w:kern w:val="0"/>
          <w:szCs w:val="21"/>
        </w:rPr>
      </w:pPr>
      <w:r>
        <w:rPr>
          <w:rFonts w:hint="eastAsia" w:ascii="宋体" w:hAnsi="宋体" w:cs="宋体"/>
          <w:color w:val="auto"/>
          <w:kern w:val="0"/>
          <w:szCs w:val="21"/>
        </w:rPr>
        <w:t>采购人指定地点。</w:t>
      </w:r>
    </w:p>
    <w:p>
      <w:pPr>
        <w:numPr>
          <w:ilvl w:val="255"/>
          <w:numId w:val="0"/>
        </w:numPr>
        <w:spacing w:line="380" w:lineRule="exact"/>
        <w:ind w:firstLine="420" w:firstLineChars="200"/>
        <w:rPr>
          <w:rFonts w:ascii="宋体" w:hAnsi="宋体"/>
          <w:bCs/>
          <w:color w:val="auto"/>
          <w:szCs w:val="21"/>
        </w:rPr>
      </w:pPr>
      <w:r>
        <w:rPr>
          <w:rFonts w:hint="eastAsia" w:ascii="宋体" w:hAnsi="宋体"/>
          <w:bCs/>
          <w:color w:val="auto"/>
          <w:szCs w:val="21"/>
        </w:rPr>
        <w:t>九、服务期</w:t>
      </w:r>
    </w:p>
    <w:p>
      <w:pPr>
        <w:spacing w:line="380" w:lineRule="exact"/>
        <w:ind w:firstLine="420" w:firstLineChars="200"/>
        <w:rPr>
          <w:rFonts w:hint="eastAsia" w:ascii="宋体" w:hAnsi="宋体" w:cs="宋体"/>
          <w:color w:val="auto"/>
          <w:kern w:val="0"/>
          <w:szCs w:val="21"/>
        </w:rPr>
      </w:pPr>
      <w:r>
        <w:rPr>
          <w:rFonts w:hint="eastAsia" w:ascii="宋体" w:hAnsi="宋体" w:cs="宋体"/>
          <w:color w:val="auto"/>
          <w:kern w:val="0"/>
          <w:szCs w:val="21"/>
          <w:lang w:val="en-US" w:eastAsia="zh-CN"/>
        </w:rPr>
        <w:t>固定资产清盘基准日为2024年6月30日、2024年10月31日，服务期为盘点基准日后一个月内完成</w:t>
      </w:r>
      <w:r>
        <w:rPr>
          <w:rFonts w:hint="eastAsia" w:ascii="宋体" w:hAnsi="宋体" w:cs="宋体"/>
          <w:color w:val="auto"/>
          <w:kern w:val="0"/>
          <w:szCs w:val="21"/>
        </w:rPr>
        <w:t>。</w:t>
      </w:r>
    </w:p>
    <w:p>
      <w:pPr>
        <w:spacing w:line="380" w:lineRule="exact"/>
        <w:ind w:firstLine="420" w:firstLineChars="200"/>
        <w:rPr>
          <w:rFonts w:hint="default" w:ascii="宋体" w:hAnsi="宋体" w:cs="宋体" w:eastAsiaTheme="minorEastAsia"/>
          <w:color w:val="auto"/>
          <w:kern w:val="0"/>
          <w:szCs w:val="21"/>
          <w:lang w:val="en-US" w:eastAsia="zh-CN"/>
        </w:rPr>
      </w:pPr>
      <w:r>
        <w:rPr>
          <w:rFonts w:hint="eastAsia" w:ascii="宋体" w:hAnsi="宋体"/>
          <w:color w:val="auto"/>
          <w:szCs w:val="21"/>
          <w:lang w:val="en-US" w:eastAsia="zh-CN"/>
        </w:rPr>
        <w:t>历史性债权债务清理基准日为</w:t>
      </w:r>
      <w:r>
        <w:rPr>
          <w:rFonts w:hint="eastAsia" w:ascii="宋体" w:hAnsi="宋体"/>
          <w:color w:val="auto"/>
          <w:szCs w:val="21"/>
        </w:rPr>
        <w:t>2024年5月31日</w:t>
      </w:r>
      <w:r>
        <w:rPr>
          <w:rFonts w:hint="eastAsia" w:ascii="宋体" w:hAnsi="宋体"/>
          <w:color w:val="auto"/>
          <w:szCs w:val="21"/>
          <w:lang w:eastAsia="zh-CN"/>
        </w:rPr>
        <w:t>，</w:t>
      </w:r>
      <w:r>
        <w:rPr>
          <w:rFonts w:hint="eastAsia" w:ascii="宋体" w:hAnsi="宋体"/>
          <w:color w:val="auto"/>
          <w:szCs w:val="21"/>
          <w:lang w:val="en-US" w:eastAsia="zh-CN"/>
        </w:rPr>
        <w:t>服务期为合同签订之日起两个月内完成。</w:t>
      </w:r>
    </w:p>
    <w:p>
      <w:pPr>
        <w:rPr>
          <w:rFonts w:ascii="宋体" w:hAnsi="宋体" w:eastAsia="宋体" w:cs="仿宋"/>
          <w:b/>
          <w:color w:val="auto"/>
          <w:szCs w:val="21"/>
        </w:rPr>
      </w:pPr>
    </w:p>
    <w:p>
      <w:pPr>
        <w:rPr>
          <w:color w:val="auto"/>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7E4E7F1C"/>
    <w:rsid w:val="091112CE"/>
    <w:rsid w:val="6C883AFD"/>
    <w:rsid w:val="7E4E7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autoRedefine/>
    <w:qFormat/>
    <w:uiPriority w:val="99"/>
    <w:pPr>
      <w:ind w:firstLine="420" w:firstLineChars="200"/>
    </w:pPr>
  </w:style>
  <w:style w:type="paragraph" w:customStyle="1" w:styleId="5">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2073</Words>
  <Characters>2138</Characters>
  <Lines>0</Lines>
  <Paragraphs>0</Paragraphs>
  <TotalTime>1</TotalTime>
  <ScaleCrop>false</ScaleCrop>
  <LinksUpToDate>false</LinksUpToDate>
  <CharactersWithSpaces>2150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2024-06-17T06:29:00Z</dcterms:created>
  <dc:creator>HYJ</dc:creator>
  <cp:lastModifiedBy>scott</cp:lastModifiedBy>
  <dcterms:modified xsi:type="dcterms:W3CDTF">2024-06-24T10:16:55Z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0DBA8A867B5A4A128EA25FD0B60DCAE9_11</vt:lpwstr>
  </property>
</Properties>
</file>