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E8AA2">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560" w:lineRule="exact"/>
        <w:ind w:leftChars="0"/>
        <w:jc w:val="center"/>
        <w:textAlignment w:val="auto"/>
        <w:rPr>
          <w:rFonts w:hint="eastAsia" w:ascii="方正小标宋简体" w:hAnsi="方正小标宋简体" w:eastAsia="方正小标宋简体" w:cs="方正小标宋简体"/>
          <w:i w:val="0"/>
          <w:iCs w:val="0"/>
          <w:caps w:val="0"/>
          <w:color w:val="10141A"/>
          <w:spacing w:val="0"/>
          <w:sz w:val="36"/>
          <w:szCs w:val="36"/>
          <w:shd w:val="clear" w:fill="FFFFFF"/>
        </w:rPr>
      </w:pPr>
      <w:r>
        <w:rPr>
          <w:rFonts w:hint="eastAsia" w:ascii="方正小标宋简体" w:hAnsi="方正小标宋简体" w:eastAsia="方正小标宋简体" w:cs="方正小标宋简体"/>
          <w:color w:val="auto"/>
          <w:sz w:val="36"/>
          <w:szCs w:val="36"/>
          <w:highlight w:val="none"/>
          <w:lang w:val="en-US" w:eastAsia="zh-CN"/>
        </w:rPr>
        <w:t>深圳市中医肛肠医院（福田）</w:t>
      </w:r>
      <w:r>
        <w:rPr>
          <w:rFonts w:hint="eastAsia" w:ascii="方正小标宋简体" w:hAnsi="方正小标宋简体" w:eastAsia="方正小标宋简体" w:cs="方正小标宋简体"/>
          <w:i w:val="0"/>
          <w:iCs w:val="0"/>
          <w:caps w:val="0"/>
          <w:color w:val="10141A"/>
          <w:spacing w:val="0"/>
          <w:sz w:val="36"/>
          <w:szCs w:val="36"/>
          <w:shd w:val="clear" w:fill="FFFFFF"/>
        </w:rPr>
        <w:t>新址职工公寓</w:t>
      </w:r>
    </w:p>
    <w:p w14:paraId="7D083EE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560" w:lineRule="exact"/>
        <w:ind w:leftChars="0"/>
        <w:jc w:val="center"/>
        <w:textAlignment w:val="auto"/>
        <w:rPr>
          <w:rFonts w:hint="eastAsia" w:ascii="方正小标宋简体" w:hAnsi="方正小标宋简体" w:eastAsia="方正小标宋简体" w:cs="方正小标宋简体"/>
          <w:b/>
          <w:color w:val="auto"/>
          <w:sz w:val="36"/>
          <w:szCs w:val="36"/>
          <w:highlight w:val="none"/>
          <w:lang w:val="en-US" w:eastAsia="zh-CN"/>
        </w:rPr>
      </w:pPr>
      <w:r>
        <w:rPr>
          <w:rFonts w:hint="eastAsia" w:ascii="方正小标宋简体" w:hAnsi="方正小标宋简体" w:eastAsia="方正小标宋简体" w:cs="方正小标宋简体"/>
          <w:i w:val="0"/>
          <w:iCs w:val="0"/>
          <w:caps w:val="0"/>
          <w:color w:val="10141A"/>
          <w:spacing w:val="0"/>
          <w:sz w:val="36"/>
          <w:szCs w:val="36"/>
          <w:shd w:val="clear" w:fill="FFFFFF"/>
        </w:rPr>
        <w:t>租赁服务</w:t>
      </w:r>
      <w:r>
        <w:rPr>
          <w:rFonts w:hint="eastAsia" w:ascii="方正小标宋简体" w:hAnsi="方正小标宋简体" w:eastAsia="方正小标宋简体" w:cs="方正小标宋简体"/>
          <w:i w:val="0"/>
          <w:iCs w:val="0"/>
          <w:caps w:val="0"/>
          <w:color w:val="10141A"/>
          <w:spacing w:val="0"/>
          <w:sz w:val="36"/>
          <w:szCs w:val="36"/>
          <w:shd w:val="clear" w:fill="FFFFFF"/>
          <w:lang w:val="en-US" w:eastAsia="zh-CN"/>
        </w:rPr>
        <w:t>需求</w:t>
      </w:r>
    </w:p>
    <w:p w14:paraId="2C01EA8B">
      <w:pPr>
        <w:numPr>
          <w:ilvl w:val="0"/>
          <w:numId w:val="0"/>
        </w:numPr>
        <w:tabs>
          <w:tab w:val="left" w:pos="540"/>
        </w:tabs>
        <w:autoSpaceDE/>
        <w:autoSpaceDN/>
        <w:snapToGrid w:val="0"/>
        <w:spacing w:line="360" w:lineRule="auto"/>
        <w:ind w:leftChars="0"/>
        <w:jc w:val="both"/>
        <w:rPr>
          <w:rFonts w:ascii="宋体" w:hAnsi="宋体"/>
          <w:b/>
          <w:color w:val="auto"/>
          <w:sz w:val="24"/>
          <w:szCs w:val="24"/>
          <w:highlight w:val="none"/>
        </w:rPr>
      </w:pPr>
    </w:p>
    <w:p w14:paraId="6437D329">
      <w:pPr>
        <w:numPr>
          <w:ilvl w:val="0"/>
          <w:numId w:val="0"/>
        </w:numPr>
        <w:tabs>
          <w:tab w:val="left" w:pos="540"/>
        </w:tabs>
        <w:autoSpaceDE/>
        <w:autoSpaceDN/>
        <w:snapToGrid w:val="0"/>
        <w:spacing w:line="360" w:lineRule="auto"/>
        <w:ind w:firstLine="640" w:firstLineChars="200"/>
        <w:jc w:val="both"/>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val="en-US" w:eastAsia="zh-CN"/>
        </w:rPr>
        <w:t>一、</w:t>
      </w:r>
      <w:r>
        <w:rPr>
          <w:rFonts w:hint="eastAsia" w:ascii="黑体" w:hAnsi="黑体" w:eastAsia="黑体" w:cs="黑体"/>
          <w:b w:val="0"/>
          <w:bCs w:val="0"/>
          <w:color w:val="auto"/>
          <w:sz w:val="32"/>
          <w:szCs w:val="32"/>
          <w:highlight w:val="none"/>
        </w:rPr>
        <w:t>项目基本概况</w:t>
      </w:r>
    </w:p>
    <w:p w14:paraId="1C8E765B">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（一）项目背景：深圳市中医肛肠医院（福田）新址位于福田区梅坳二路1号，医院总建筑面积70283平方米，规划床位数420张。医院首期解决大约100位新进职工住宿需求。</w:t>
      </w:r>
    </w:p>
    <w:p w14:paraId="29E3099F">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（二）采购方式：竞争性谈判</w:t>
      </w:r>
    </w:p>
    <w:p w14:paraId="7CB03EF8">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300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/年，</w:t>
      </w:r>
      <w:r>
        <w:rPr>
          <w:rFonts w:hint="eastAsia" w:ascii="仿宋_GB2312" w:hAnsi="仿宋_GB2312" w:eastAsia="仿宋_GB2312" w:cs="仿宋_GB2312"/>
          <w:color w:val="auto"/>
          <w:sz w:val="32"/>
          <w:szCs w:val="32"/>
          <w:highlight w:val="none"/>
        </w:rPr>
        <w:t>以实际产生费用为准</w:t>
      </w:r>
      <w:r>
        <w:rPr>
          <w:rFonts w:hint="eastAsia" w:ascii="仿宋_GB2312" w:hAnsi="仿宋_GB2312" w:eastAsia="仿宋_GB2312" w:cs="仿宋_GB2312"/>
          <w:color w:val="auto"/>
          <w:sz w:val="32"/>
          <w:szCs w:val="32"/>
          <w:highlight w:val="none"/>
          <w:lang w:eastAsia="zh-CN"/>
        </w:rPr>
        <w:t>。</w:t>
      </w:r>
    </w:p>
    <w:p w14:paraId="258A2CAA">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（四）最高</w:t>
      </w:r>
      <w:r>
        <w:rPr>
          <w:rFonts w:hint="eastAsia" w:ascii="仿宋_GB2312" w:hAnsi="仿宋_GB2312" w:eastAsia="仿宋_GB2312" w:cs="仿宋_GB2312"/>
          <w:color w:val="auto"/>
          <w:sz w:val="32"/>
          <w:szCs w:val="32"/>
          <w:highlight w:val="none"/>
        </w:rPr>
        <w:t>限价：</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元/平方米</w:t>
      </w:r>
    </w:p>
    <w:p w14:paraId="0881D524">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（五）房源要求：</w:t>
      </w:r>
      <w:r>
        <w:rPr>
          <w:rFonts w:hint="eastAsia" w:ascii="仿宋_GB2312" w:hAnsi="仿宋_GB2312" w:eastAsia="仿宋_GB2312" w:cs="仿宋_GB2312"/>
          <w:color w:val="auto"/>
          <w:sz w:val="32"/>
          <w:szCs w:val="32"/>
          <w:highlight w:val="none"/>
        </w:rPr>
        <w:t>按采购人要求提供宿舍用房、配套设备及相关服务。</w:t>
      </w:r>
    </w:p>
    <w:p w14:paraId="6C49B4D9">
      <w:pPr>
        <w:tabs>
          <w:tab w:val="left" w:pos="900"/>
        </w:tabs>
        <w:snapToGrid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本项目不允许联合体</w:t>
      </w:r>
      <w:r>
        <w:rPr>
          <w:rFonts w:hint="eastAsia" w:ascii="仿宋_GB2312" w:hAnsi="仿宋_GB2312" w:eastAsia="仿宋_GB2312" w:cs="仿宋_GB2312"/>
          <w:color w:val="auto"/>
          <w:sz w:val="32"/>
          <w:szCs w:val="32"/>
          <w:highlight w:val="none"/>
          <w:lang w:eastAsia="zh-CN"/>
        </w:rPr>
        <w:t>报名，</w:t>
      </w:r>
      <w:r>
        <w:rPr>
          <w:rFonts w:hint="eastAsia" w:ascii="仿宋_GB2312" w:hAnsi="仿宋_GB2312" w:eastAsia="仿宋_GB2312" w:cs="仿宋_GB2312"/>
          <w:color w:val="auto"/>
          <w:sz w:val="32"/>
          <w:szCs w:val="32"/>
          <w:highlight w:val="none"/>
        </w:rPr>
        <w:t>不允许分包、转包。</w:t>
      </w:r>
    </w:p>
    <w:p w14:paraId="05D34B7C">
      <w:pPr>
        <w:numPr>
          <w:ilvl w:val="0"/>
          <w:numId w:val="0"/>
        </w:numPr>
        <w:tabs>
          <w:tab w:val="left" w:pos="540"/>
        </w:tabs>
        <w:autoSpaceDE/>
        <w:autoSpaceDN/>
        <w:snapToGrid w:val="0"/>
        <w:spacing w:line="240" w:lineRule="auto"/>
        <w:ind w:leftChars="0" w:firstLine="640" w:firstLineChars="200"/>
        <w:jc w:val="both"/>
        <w:rPr>
          <w:rFonts w:hint="default" w:ascii="黑体" w:hAnsi="黑体" w:eastAsia="黑体" w:cs="黑体"/>
          <w:b w:val="0"/>
          <w:bCs/>
          <w:color w:val="auto"/>
          <w:sz w:val="32"/>
          <w:szCs w:val="32"/>
          <w:highlight w:val="none"/>
          <w:lang w:val="en-US"/>
        </w:rPr>
      </w:pPr>
      <w:r>
        <w:rPr>
          <w:rFonts w:hint="eastAsia" w:ascii="黑体" w:hAnsi="黑体" w:eastAsia="黑体" w:cs="黑体"/>
          <w:b w:val="0"/>
          <w:bCs/>
          <w:color w:val="auto"/>
          <w:sz w:val="32"/>
          <w:szCs w:val="32"/>
          <w:highlight w:val="none"/>
          <w:lang w:val="en-US" w:eastAsia="zh-CN"/>
        </w:rPr>
        <w:t>二、拟租公寓要求</w:t>
      </w:r>
    </w:p>
    <w:tbl>
      <w:tblPr>
        <w:tblStyle w:val="10"/>
        <w:tblW w:w="504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99"/>
        <w:gridCol w:w="1562"/>
        <w:gridCol w:w="6142"/>
      </w:tblGrid>
      <w:tr w14:paraId="1BBA4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auto"/>
            <w:vAlign w:val="top"/>
          </w:tcPr>
          <w:p w14:paraId="78350899">
            <w:pPr>
              <w:spacing w:line="271" w:lineRule="auto"/>
              <w:jc w:val="center"/>
              <w:rPr>
                <w:rFonts w:hint="eastAsia" w:ascii="仿宋_GB2312" w:hAnsi="仿宋_GB2312" w:eastAsia="仿宋_GB2312" w:cs="仿宋_GB2312"/>
                <w:color w:val="000000"/>
                <w:sz w:val="28"/>
                <w:szCs w:val="28"/>
              </w:rPr>
            </w:pPr>
          </w:p>
          <w:p w14:paraId="3164B36B">
            <w:pPr>
              <w:pStyle w:val="11"/>
              <w:spacing w:before="78" w:line="182" w:lineRule="auto"/>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w:t>
            </w:r>
          </w:p>
        </w:tc>
        <w:tc>
          <w:tcPr>
            <w:tcW w:w="929" w:type="pct"/>
            <w:tcBorders>
              <w:top w:val="single" w:color="5B5B5B" w:sz="8" w:space="0"/>
              <w:left w:val="single" w:color="5B5B5B" w:sz="8" w:space="0"/>
              <w:bottom w:val="single" w:color="5B5B5B" w:sz="8" w:space="0"/>
              <w:right w:val="single" w:color="5B5B5B" w:sz="8" w:space="0"/>
            </w:tcBorders>
            <w:shd w:val="clear" w:color="auto" w:fill="auto"/>
            <w:vAlign w:val="top"/>
          </w:tcPr>
          <w:p w14:paraId="2523125D">
            <w:pPr>
              <w:spacing w:line="252" w:lineRule="auto"/>
              <w:jc w:val="left"/>
              <w:rPr>
                <w:rFonts w:hint="eastAsia" w:ascii="仿宋_GB2312" w:hAnsi="仿宋_GB2312" w:eastAsia="仿宋_GB2312" w:cs="仿宋_GB2312"/>
                <w:color w:val="000000"/>
                <w:sz w:val="28"/>
                <w:szCs w:val="28"/>
              </w:rPr>
            </w:pPr>
          </w:p>
          <w:p w14:paraId="5982D201">
            <w:pPr>
              <w:pStyle w:val="11"/>
              <w:spacing w:before="78"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3"/>
                <w:sz w:val="28"/>
                <w:szCs w:val="28"/>
              </w:rPr>
              <w:t>用房地址</w:t>
            </w:r>
          </w:p>
        </w:tc>
        <w:tc>
          <w:tcPr>
            <w:tcW w:w="3653" w:type="pct"/>
            <w:tcBorders>
              <w:top w:val="single" w:color="5B5B5B" w:sz="8" w:space="0"/>
              <w:left w:val="single" w:color="5B5B5B" w:sz="8" w:space="0"/>
              <w:bottom w:val="single" w:color="5B5B5B" w:sz="8" w:space="0"/>
              <w:right w:val="single" w:color="5B5B5B" w:sz="8" w:space="0"/>
            </w:tcBorders>
            <w:shd w:val="clear" w:color="auto" w:fill="auto"/>
            <w:vAlign w:val="top"/>
          </w:tcPr>
          <w:p w14:paraId="6A7B8DB2">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b w:val="0"/>
                <w:bCs/>
                <w:color w:val="000000"/>
                <w:sz w:val="28"/>
                <w:szCs w:val="28"/>
                <w:highlight w:val="none"/>
                <w:lang w:val="en-US" w:eastAsia="zh-CN"/>
              </w:rPr>
              <w:t>公寓门牌地址</w:t>
            </w:r>
            <w:r>
              <w:rPr>
                <w:rFonts w:hint="eastAsia" w:ascii="仿宋_GB2312" w:hAnsi="仿宋_GB2312" w:eastAsia="仿宋_GB2312" w:cs="仿宋_GB2312"/>
                <w:b w:val="0"/>
                <w:bCs/>
                <w:color w:val="000000"/>
                <w:sz w:val="28"/>
                <w:szCs w:val="28"/>
                <w:highlight w:val="none"/>
              </w:rPr>
              <w:t>距离</w:t>
            </w:r>
            <w:r>
              <w:rPr>
                <w:rFonts w:hint="eastAsia" w:ascii="仿宋_GB2312" w:hAnsi="仿宋_GB2312" w:eastAsia="仿宋_GB2312" w:cs="仿宋_GB2312"/>
                <w:color w:val="000000"/>
                <w:sz w:val="28"/>
                <w:szCs w:val="28"/>
                <w:highlight w:val="none"/>
                <w:lang w:val="en-US" w:eastAsia="zh-CN"/>
              </w:rPr>
              <w:t>深圳市中医肛肠医院（福田）新址（</w:t>
            </w:r>
            <w:r>
              <w:rPr>
                <w:rFonts w:hint="eastAsia" w:ascii="仿宋_GB2312" w:hAnsi="仿宋_GB2312" w:eastAsia="仿宋_GB2312" w:cs="仿宋_GB2312"/>
                <w:bCs/>
                <w:color w:val="000000"/>
                <w:sz w:val="28"/>
                <w:szCs w:val="28"/>
                <w:highlight w:val="none"/>
              </w:rPr>
              <w:t>福田区梅林片区梅坳一路和五路交叉口</w:t>
            </w:r>
            <w:r>
              <w:rPr>
                <w:rFonts w:hint="eastAsia" w:ascii="仿宋_GB2312" w:hAnsi="仿宋_GB2312" w:eastAsia="仿宋_GB2312" w:cs="仿宋_GB2312"/>
                <w:color w:val="000000"/>
                <w:sz w:val="28"/>
                <w:szCs w:val="28"/>
                <w:highlight w:val="none"/>
                <w:lang w:val="en-US" w:eastAsia="zh-CN"/>
              </w:rPr>
              <w:t>）直线距离5</w:t>
            </w:r>
            <w:r>
              <w:rPr>
                <w:rFonts w:hint="eastAsia" w:ascii="仿宋_GB2312" w:hAnsi="仿宋_GB2312" w:eastAsia="仿宋_GB2312" w:cs="仿宋_GB2312"/>
                <w:b w:val="0"/>
                <w:bCs/>
                <w:color w:val="000000"/>
                <w:sz w:val="28"/>
                <w:szCs w:val="28"/>
                <w:highlight w:val="none"/>
                <w:lang w:val="en-US" w:eastAsia="zh-CN"/>
              </w:rPr>
              <w:t>000米</w:t>
            </w:r>
            <w:r>
              <w:rPr>
                <w:rFonts w:hint="eastAsia" w:ascii="仿宋_GB2312" w:hAnsi="仿宋_GB2312" w:eastAsia="仿宋_GB2312" w:cs="仿宋_GB2312"/>
                <w:b w:val="0"/>
                <w:bCs/>
                <w:color w:val="000000"/>
                <w:sz w:val="28"/>
                <w:szCs w:val="28"/>
                <w:highlight w:val="none"/>
              </w:rPr>
              <w:t>以内。</w:t>
            </w:r>
            <w:r>
              <w:rPr>
                <w:rFonts w:hint="eastAsia" w:ascii="仿宋_GB2312" w:hAnsi="仿宋_GB2312" w:eastAsia="仿宋_GB2312" w:cs="仿宋_GB2312"/>
                <w:b/>
                <w:bCs w:val="0"/>
                <w:color w:val="000000"/>
                <w:sz w:val="28"/>
                <w:szCs w:val="28"/>
                <w:highlight w:val="none"/>
                <w:lang w:eastAsia="zh-CN"/>
              </w:rPr>
              <w:t>（以</w:t>
            </w:r>
            <w:r>
              <w:rPr>
                <w:rFonts w:hint="eastAsia" w:ascii="仿宋_GB2312" w:hAnsi="仿宋_GB2312" w:eastAsia="仿宋_GB2312" w:cs="仿宋_GB2312"/>
                <w:b/>
                <w:bCs w:val="0"/>
                <w:color w:val="000000"/>
                <w:sz w:val="28"/>
                <w:szCs w:val="28"/>
                <w:highlight w:val="none"/>
                <w:lang w:val="en-US" w:eastAsia="zh-CN"/>
              </w:rPr>
              <w:t>报名人提供的</w:t>
            </w:r>
            <w:r>
              <w:rPr>
                <w:rFonts w:hint="eastAsia" w:ascii="仿宋_GB2312" w:hAnsi="仿宋_GB2312" w:eastAsia="仿宋_GB2312" w:cs="仿宋_GB2312"/>
                <w:b/>
                <w:bCs w:val="0"/>
                <w:color w:val="000000"/>
                <w:sz w:val="28"/>
                <w:szCs w:val="28"/>
                <w:highlight w:val="none"/>
                <w:lang w:eastAsia="zh-CN"/>
              </w:rPr>
              <w:t>高德地图</w:t>
            </w:r>
            <w:r>
              <w:rPr>
                <w:rFonts w:hint="eastAsia" w:ascii="仿宋_GB2312" w:hAnsi="仿宋_GB2312" w:eastAsia="仿宋_GB2312" w:cs="仿宋_GB2312"/>
                <w:b/>
                <w:bCs w:val="0"/>
                <w:color w:val="000000"/>
                <w:sz w:val="28"/>
                <w:szCs w:val="28"/>
                <w:highlight w:val="none"/>
                <w:lang w:val="en-US" w:eastAsia="zh-CN"/>
              </w:rPr>
              <w:t>测距</w:t>
            </w:r>
            <w:r>
              <w:rPr>
                <w:rFonts w:hint="eastAsia" w:ascii="仿宋_GB2312" w:hAnsi="仿宋_GB2312" w:eastAsia="仿宋_GB2312" w:cs="仿宋_GB2312"/>
                <w:b/>
                <w:bCs w:val="0"/>
                <w:color w:val="000000"/>
                <w:sz w:val="28"/>
                <w:szCs w:val="28"/>
                <w:highlight w:val="none"/>
                <w:lang w:eastAsia="zh-CN"/>
              </w:rPr>
              <w:t>截图为准）</w:t>
            </w:r>
          </w:p>
        </w:tc>
      </w:tr>
      <w:tr w14:paraId="4A1BB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15C183E3">
            <w:pPr>
              <w:pStyle w:val="11"/>
              <w:spacing w:before="154" w:line="181" w:lineRule="auto"/>
              <w:ind w:left="386"/>
              <w:jc w:val="center"/>
              <w:rPr>
                <w:rFonts w:hint="eastAsia" w:ascii="仿宋_GB2312" w:hAnsi="仿宋_GB2312" w:eastAsia="仿宋_GB2312" w:cs="仿宋_GB2312"/>
                <w:color w:val="000000"/>
                <w:sz w:val="28"/>
                <w:szCs w:val="28"/>
              </w:rPr>
            </w:pPr>
          </w:p>
          <w:p w14:paraId="6930FDE2">
            <w:pPr>
              <w:pStyle w:val="11"/>
              <w:spacing w:before="154" w:line="181" w:lineRule="auto"/>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530F1BF6">
            <w:pPr>
              <w:pStyle w:val="11"/>
              <w:spacing w:before="113" w:line="220" w:lineRule="auto"/>
              <w:jc w:val="left"/>
              <w:rPr>
                <w:rFonts w:hint="eastAsia" w:ascii="仿宋_GB2312" w:hAnsi="仿宋_GB2312" w:eastAsia="仿宋_GB2312" w:cs="仿宋_GB2312"/>
                <w:color w:val="000000"/>
                <w:spacing w:val="-3"/>
                <w:sz w:val="28"/>
                <w:szCs w:val="28"/>
              </w:rPr>
            </w:pPr>
          </w:p>
          <w:p w14:paraId="68C0F2F5">
            <w:pPr>
              <w:pStyle w:val="11"/>
              <w:spacing w:before="113"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3"/>
                <w:sz w:val="28"/>
                <w:szCs w:val="28"/>
              </w:rPr>
              <w:t>用房面积</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731D7E9B">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b w:val="0"/>
                <w:bCs/>
                <w:color w:val="000000"/>
                <w:sz w:val="28"/>
                <w:szCs w:val="28"/>
                <w:highlight w:val="none"/>
              </w:rPr>
              <w:t>平均</w:t>
            </w:r>
            <w:r>
              <w:rPr>
                <w:rFonts w:hint="eastAsia" w:ascii="仿宋_GB2312" w:hAnsi="仿宋_GB2312" w:eastAsia="仿宋_GB2312" w:cs="仿宋_GB2312"/>
                <w:b w:val="0"/>
                <w:bCs/>
                <w:color w:val="000000"/>
                <w:sz w:val="28"/>
                <w:szCs w:val="28"/>
                <w:highlight w:val="none"/>
                <w:lang w:val="en-US" w:eastAsia="zh-CN"/>
              </w:rPr>
              <w:t>建筑</w:t>
            </w:r>
            <w:r>
              <w:rPr>
                <w:rFonts w:hint="eastAsia" w:ascii="仿宋_GB2312" w:hAnsi="仿宋_GB2312" w:eastAsia="仿宋_GB2312" w:cs="仿宋_GB2312"/>
                <w:b w:val="0"/>
                <w:bCs/>
                <w:color w:val="000000"/>
                <w:sz w:val="28"/>
                <w:szCs w:val="28"/>
                <w:highlight w:val="none"/>
              </w:rPr>
              <w:t>面积</w:t>
            </w:r>
            <w:r>
              <w:rPr>
                <w:rFonts w:hint="eastAsia" w:ascii="仿宋_GB2312" w:hAnsi="仿宋_GB2312" w:eastAsia="仿宋_GB2312" w:cs="仿宋_GB2312"/>
                <w:b w:val="0"/>
                <w:bCs/>
                <w:color w:val="000000"/>
                <w:sz w:val="28"/>
                <w:szCs w:val="28"/>
                <w:highlight w:val="none"/>
                <w:lang w:eastAsia="zh-CN"/>
              </w:rPr>
              <w:t>：</w:t>
            </w:r>
            <w:r>
              <w:rPr>
                <w:rFonts w:hint="eastAsia" w:ascii="仿宋_GB2312" w:hAnsi="仿宋_GB2312" w:eastAsia="仿宋_GB2312" w:cs="仿宋_GB2312"/>
                <w:b w:val="0"/>
                <w:bCs/>
                <w:color w:val="000000"/>
                <w:sz w:val="28"/>
                <w:szCs w:val="28"/>
                <w:highlight w:val="none"/>
                <w:lang w:val="en-US" w:eastAsia="zh-CN"/>
              </w:rPr>
              <w:t>一房一厅</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val="en-US" w:eastAsia="zh-CN"/>
              </w:rPr>
              <w:t>50</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eastAsia="zh-CN"/>
              </w:rPr>
              <w:t>间</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val="en-US" w:eastAsia="zh-CN"/>
              </w:rPr>
              <w:t>20</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eastAsia="zh-CN"/>
              </w:rPr>
              <w:t>间</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val="en-US" w:eastAsia="zh-CN"/>
              </w:rPr>
              <w:t>单间建筑</w:t>
            </w:r>
            <w:r>
              <w:rPr>
                <w:rFonts w:hint="eastAsia" w:ascii="仿宋_GB2312" w:hAnsi="仿宋_GB2312" w:eastAsia="仿宋_GB2312" w:cs="仿宋_GB2312"/>
                <w:b w:val="0"/>
                <w:bCs/>
                <w:color w:val="000000"/>
                <w:sz w:val="28"/>
                <w:szCs w:val="28"/>
                <w:highlight w:val="none"/>
              </w:rPr>
              <w:t>面积≤</w:t>
            </w:r>
            <w:r>
              <w:rPr>
                <w:rFonts w:hint="eastAsia" w:ascii="仿宋_GB2312" w:hAnsi="仿宋_GB2312" w:eastAsia="仿宋_GB2312" w:cs="仿宋_GB2312"/>
                <w:b w:val="0"/>
                <w:bCs/>
                <w:color w:val="000000"/>
                <w:sz w:val="28"/>
                <w:szCs w:val="28"/>
                <w:highlight w:val="none"/>
                <w:lang w:val="en-US" w:eastAsia="zh-CN"/>
              </w:rPr>
              <w:t>40</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val="0"/>
                <w:bCs/>
                <w:color w:val="000000"/>
                <w:sz w:val="28"/>
                <w:szCs w:val="28"/>
                <w:highlight w:val="none"/>
                <w:lang w:eastAsia="zh-CN"/>
              </w:rPr>
              <w:t>间</w:t>
            </w:r>
            <w:r>
              <w:rPr>
                <w:rFonts w:hint="eastAsia" w:ascii="仿宋_GB2312" w:hAnsi="仿宋_GB2312" w:eastAsia="仿宋_GB2312" w:cs="仿宋_GB2312"/>
                <w:b w:val="0"/>
                <w:bCs/>
                <w:color w:val="000000"/>
                <w:sz w:val="28"/>
                <w:szCs w:val="28"/>
                <w:highlight w:val="none"/>
              </w:rPr>
              <w:t>。</w:t>
            </w:r>
            <w:r>
              <w:rPr>
                <w:rFonts w:hint="eastAsia" w:ascii="仿宋_GB2312" w:hAnsi="仿宋_GB2312" w:eastAsia="仿宋_GB2312" w:cs="仿宋_GB2312"/>
                <w:b/>
                <w:bCs w:val="0"/>
                <w:color w:val="000000"/>
                <w:sz w:val="28"/>
                <w:szCs w:val="28"/>
                <w:highlight w:val="none"/>
                <w:lang w:eastAsia="zh-CN"/>
              </w:rPr>
              <w:t>（报名人需提供房间清单，</w:t>
            </w:r>
            <w:r>
              <w:rPr>
                <w:rFonts w:hint="eastAsia" w:ascii="仿宋_GB2312" w:hAnsi="仿宋_GB2312" w:eastAsia="仿宋_GB2312" w:cs="仿宋_GB2312"/>
                <w:b/>
                <w:bCs w:val="0"/>
                <w:color w:val="000000"/>
                <w:sz w:val="28"/>
                <w:szCs w:val="28"/>
                <w:highlight w:val="none"/>
                <w:lang w:val="en-US" w:eastAsia="zh-CN"/>
              </w:rPr>
              <w:t>计算平均建筑面积时楼栋的</w:t>
            </w:r>
            <w:r>
              <w:rPr>
                <w:rFonts w:hint="eastAsia" w:ascii="仿宋_GB2312" w:hAnsi="仿宋_GB2312" w:eastAsia="仿宋_GB2312" w:cs="仿宋_GB2312"/>
                <w:b/>
                <w:bCs w:val="0"/>
                <w:color w:val="000000"/>
                <w:sz w:val="28"/>
                <w:szCs w:val="28"/>
                <w:highlight w:val="none"/>
                <w:lang w:eastAsia="zh-CN"/>
              </w:rPr>
              <w:t>公摊面积也计算在内，</w:t>
            </w:r>
            <w:r>
              <w:rPr>
                <w:rFonts w:hint="eastAsia" w:ascii="仿宋_GB2312" w:hAnsi="仿宋_GB2312" w:eastAsia="仿宋_GB2312" w:cs="仿宋_GB2312"/>
                <w:b/>
                <w:bCs w:val="0"/>
                <w:color w:val="000000"/>
                <w:sz w:val="28"/>
                <w:szCs w:val="28"/>
                <w:highlight w:val="none"/>
                <w:lang w:val="en-US" w:eastAsia="zh-CN"/>
              </w:rPr>
              <w:t>详见附件），</w:t>
            </w:r>
            <w:r>
              <w:rPr>
                <w:rFonts w:hint="eastAsia" w:ascii="仿宋_GB2312" w:hAnsi="仿宋_GB2312" w:eastAsia="仿宋_GB2312" w:cs="仿宋_GB2312"/>
                <w:color w:val="000000"/>
                <w:spacing w:val="-1"/>
                <w:sz w:val="28"/>
                <w:szCs w:val="28"/>
              </w:rPr>
              <w:t>★</w:t>
            </w:r>
            <w:r>
              <w:rPr>
                <w:rFonts w:hint="eastAsia" w:ascii="仿宋_GB2312" w:hAnsi="仿宋_GB2312" w:eastAsia="仿宋_GB2312" w:cs="仿宋_GB2312"/>
                <w:b/>
                <w:bCs w:val="0"/>
                <w:color w:val="000000"/>
                <w:sz w:val="28"/>
                <w:szCs w:val="28"/>
                <w:highlight w:val="none"/>
                <w:lang w:val="en-US" w:eastAsia="zh-CN"/>
              </w:rPr>
              <w:t>房间间隔须为实体墙。</w:t>
            </w:r>
          </w:p>
        </w:tc>
      </w:tr>
      <w:tr w14:paraId="495DB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3D6B7545">
            <w:pPr>
              <w:pStyle w:val="11"/>
              <w:spacing w:before="159" w:line="181" w:lineRule="auto"/>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3</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72A8A444">
            <w:pPr>
              <w:pStyle w:val="11"/>
              <w:spacing w:before="118" w:line="220" w:lineRule="auto"/>
              <w:jc w:val="left"/>
              <w:rPr>
                <w:rFonts w:hint="default" w:ascii="仿宋_GB2312" w:hAnsi="仿宋_GB2312" w:eastAsia="仿宋_GB2312" w:cs="仿宋_GB2312"/>
                <w:color w:val="000000"/>
                <w:spacing w:val="-3"/>
                <w:sz w:val="28"/>
                <w:szCs w:val="28"/>
                <w:lang w:val="en-US" w:eastAsia="zh-CN"/>
              </w:rPr>
            </w:pPr>
            <w:r>
              <w:rPr>
                <w:rFonts w:hint="eastAsia" w:ascii="仿宋_GB2312" w:hAnsi="仿宋_GB2312" w:eastAsia="仿宋_GB2312" w:cs="仿宋_GB2312"/>
                <w:color w:val="000000"/>
                <w:spacing w:val="-3"/>
                <w:sz w:val="28"/>
                <w:szCs w:val="28"/>
                <w:lang w:val="en-US" w:eastAsia="zh-CN"/>
              </w:rPr>
              <w:t>交通便利性</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790AE168">
            <w:pPr>
              <w:pStyle w:val="11"/>
              <w:spacing w:before="118" w:line="220" w:lineRule="auto"/>
              <w:rPr>
                <w:rFonts w:hint="eastAsia" w:ascii="仿宋_GB2312" w:hAnsi="仿宋_GB2312" w:eastAsia="仿宋_GB2312" w:cs="仿宋_GB2312"/>
                <w:color w:val="000000"/>
                <w:spacing w:val="-5"/>
                <w:sz w:val="28"/>
                <w:szCs w:val="28"/>
              </w:rPr>
            </w:pPr>
            <w:r>
              <w:rPr>
                <w:rFonts w:hint="eastAsia" w:ascii="仿宋_GB2312" w:hAnsi="仿宋_GB2312" w:eastAsia="仿宋_GB2312" w:cs="仿宋_GB2312"/>
                <w:color w:val="000000"/>
                <w:spacing w:val="-3"/>
                <w:sz w:val="28"/>
                <w:szCs w:val="28"/>
                <w:lang w:val="en-US" w:eastAsia="zh-CN"/>
              </w:rPr>
              <w:t>用房所在地有多种交通工具便于选择为佳</w:t>
            </w:r>
            <w:r>
              <w:rPr>
                <w:rFonts w:hint="eastAsia" w:ascii="仿宋_GB2312" w:hAnsi="仿宋_GB2312" w:eastAsia="仿宋_GB2312" w:cs="仿宋_GB2312"/>
                <w:b w:val="0"/>
                <w:bCs/>
                <w:color w:val="000000"/>
                <w:sz w:val="28"/>
                <w:szCs w:val="28"/>
                <w:highlight w:val="none"/>
                <w:lang w:val="en-US" w:eastAsia="zh-CN" w:bidi="ar-SA"/>
              </w:rPr>
              <w:t>。</w:t>
            </w:r>
            <w:r>
              <w:rPr>
                <w:rFonts w:hint="eastAsia" w:ascii="仿宋_GB2312" w:hAnsi="仿宋_GB2312" w:eastAsia="仿宋_GB2312" w:cs="仿宋_GB2312"/>
                <w:color w:val="000000"/>
                <w:spacing w:val="-3"/>
                <w:sz w:val="28"/>
                <w:szCs w:val="28"/>
                <w:lang w:val="en-US" w:eastAsia="zh-CN"/>
              </w:rPr>
              <w:t>距离地铁站口≤800米</w:t>
            </w:r>
          </w:p>
        </w:tc>
      </w:tr>
      <w:tr w14:paraId="21D75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563E09E5">
            <w:pPr>
              <w:pStyle w:val="11"/>
              <w:spacing w:before="159" w:line="181" w:lineRule="auto"/>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4</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1C011EC2">
            <w:pPr>
              <w:pStyle w:val="11"/>
              <w:spacing w:before="118"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3"/>
                <w:sz w:val="28"/>
                <w:szCs w:val="28"/>
              </w:rPr>
              <w:t>楼层</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24DF3BF1">
            <w:pPr>
              <w:pStyle w:val="11"/>
              <w:spacing w:before="118" w:line="220" w:lineRule="auto"/>
              <w:ind w:left="133"/>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pacing w:val="-5"/>
                <w:sz w:val="28"/>
                <w:szCs w:val="28"/>
              </w:rPr>
              <w:t>层数≥</w:t>
            </w:r>
            <w:r>
              <w:rPr>
                <w:rFonts w:hint="eastAsia" w:ascii="仿宋_GB2312" w:hAnsi="仿宋_GB2312" w:eastAsia="仿宋_GB2312" w:cs="仿宋_GB2312"/>
                <w:color w:val="000000"/>
                <w:spacing w:val="14"/>
                <w:sz w:val="28"/>
                <w:szCs w:val="28"/>
                <w:u w:val="single" w:color="auto"/>
              </w:rPr>
              <w:t xml:space="preserve"> </w:t>
            </w:r>
            <w:r>
              <w:rPr>
                <w:rFonts w:hint="eastAsia" w:ascii="仿宋_GB2312" w:hAnsi="仿宋_GB2312" w:eastAsia="仿宋_GB2312" w:cs="仿宋_GB2312"/>
                <w:color w:val="000000"/>
                <w:spacing w:val="-5"/>
                <w:sz w:val="28"/>
                <w:szCs w:val="28"/>
                <w:u w:val="single" w:color="auto"/>
                <w:lang w:val="en-US" w:eastAsia="zh-CN"/>
              </w:rPr>
              <w:t>5</w:t>
            </w:r>
            <w:r>
              <w:rPr>
                <w:rFonts w:hint="eastAsia" w:ascii="仿宋_GB2312" w:hAnsi="仿宋_GB2312" w:eastAsia="仿宋_GB2312" w:cs="仿宋_GB2312"/>
                <w:color w:val="000000"/>
                <w:spacing w:val="9"/>
                <w:sz w:val="28"/>
                <w:szCs w:val="28"/>
                <w:u w:val="single" w:color="auto"/>
              </w:rPr>
              <w:t xml:space="preserve"> </w:t>
            </w:r>
            <w:r>
              <w:rPr>
                <w:rFonts w:hint="eastAsia" w:ascii="仿宋_GB2312" w:hAnsi="仿宋_GB2312" w:eastAsia="仿宋_GB2312" w:cs="仿宋_GB2312"/>
                <w:color w:val="000000"/>
                <w:spacing w:val="-5"/>
                <w:sz w:val="28"/>
                <w:szCs w:val="28"/>
              </w:rPr>
              <w:t>层</w:t>
            </w:r>
            <w:r>
              <w:rPr>
                <w:rFonts w:hint="eastAsia" w:ascii="仿宋_GB2312" w:hAnsi="仿宋_GB2312" w:eastAsia="仿宋_GB2312" w:cs="仿宋_GB2312"/>
                <w:color w:val="000000"/>
                <w:spacing w:val="-5"/>
                <w:sz w:val="28"/>
                <w:szCs w:val="28"/>
                <w:lang w:eastAsia="zh-CN"/>
              </w:rPr>
              <w:t>。</w:t>
            </w:r>
          </w:p>
        </w:tc>
      </w:tr>
      <w:tr w14:paraId="1A6B8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6379A4FA">
            <w:pPr>
              <w:pStyle w:val="11"/>
              <w:spacing w:before="154" w:line="181" w:lineRule="auto"/>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5</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514F2082">
            <w:pPr>
              <w:pStyle w:val="11"/>
              <w:spacing w:before="114"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2"/>
                <w:sz w:val="28"/>
                <w:szCs w:val="28"/>
              </w:rPr>
              <w:t>标的物性质</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3CA9FDE0">
            <w:pPr>
              <w:pStyle w:val="11"/>
              <w:spacing w:before="113" w:line="220" w:lineRule="auto"/>
              <w:ind w:left="138"/>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pacing w:val="-3"/>
                <w:sz w:val="28"/>
                <w:szCs w:val="28"/>
              </w:rPr>
              <w:t>商业</w:t>
            </w:r>
            <w:r>
              <w:rPr>
                <w:rFonts w:hint="eastAsia" w:ascii="仿宋_GB2312" w:hAnsi="仿宋_GB2312" w:eastAsia="仿宋_GB2312" w:cs="仿宋_GB2312"/>
                <w:color w:val="000000"/>
                <w:spacing w:val="-3"/>
                <w:sz w:val="28"/>
                <w:szCs w:val="28"/>
                <w:lang w:val="en-US" w:eastAsia="zh-CN"/>
              </w:rPr>
              <w:t>公寓</w:t>
            </w:r>
            <w:r>
              <w:rPr>
                <w:rFonts w:hint="eastAsia" w:ascii="仿宋_GB2312" w:hAnsi="仿宋_GB2312" w:eastAsia="仿宋_GB2312" w:cs="仿宋_GB2312"/>
                <w:color w:val="000000"/>
                <w:spacing w:val="-3"/>
                <w:sz w:val="28"/>
                <w:szCs w:val="28"/>
              </w:rPr>
              <w:t>、住宅</w:t>
            </w:r>
            <w:r>
              <w:rPr>
                <w:rFonts w:hint="eastAsia" w:ascii="仿宋_GB2312" w:hAnsi="仿宋_GB2312" w:eastAsia="仿宋_GB2312" w:cs="仿宋_GB2312"/>
                <w:color w:val="000000"/>
                <w:spacing w:val="-3"/>
                <w:sz w:val="28"/>
                <w:szCs w:val="28"/>
                <w:lang w:eastAsia="zh-CN"/>
              </w:rPr>
              <w:t>。</w:t>
            </w:r>
          </w:p>
        </w:tc>
      </w:tr>
      <w:tr w14:paraId="6DFCA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1D775DE7">
            <w:pPr>
              <w:spacing w:line="258" w:lineRule="auto"/>
              <w:jc w:val="center"/>
              <w:rPr>
                <w:rFonts w:hint="eastAsia" w:ascii="仿宋_GB2312" w:hAnsi="仿宋_GB2312" w:eastAsia="仿宋_GB2312" w:cs="仿宋_GB2312"/>
                <w:color w:val="000000"/>
                <w:sz w:val="28"/>
                <w:szCs w:val="28"/>
              </w:rPr>
            </w:pPr>
          </w:p>
          <w:p w14:paraId="03C797B7">
            <w:pPr>
              <w:spacing w:line="258" w:lineRule="auto"/>
              <w:jc w:val="center"/>
              <w:rPr>
                <w:rFonts w:hint="eastAsia" w:ascii="仿宋_GB2312" w:hAnsi="仿宋_GB2312" w:eastAsia="仿宋_GB2312" w:cs="仿宋_GB2312"/>
                <w:color w:val="000000"/>
                <w:sz w:val="28"/>
                <w:szCs w:val="28"/>
              </w:rPr>
            </w:pPr>
          </w:p>
          <w:p w14:paraId="76EC764A">
            <w:pPr>
              <w:pStyle w:val="11"/>
              <w:spacing w:before="78" w:line="180" w:lineRule="auto"/>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6</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34AFFDB6">
            <w:pPr>
              <w:spacing w:line="243" w:lineRule="auto"/>
              <w:jc w:val="left"/>
              <w:rPr>
                <w:rFonts w:hint="eastAsia" w:ascii="仿宋_GB2312" w:hAnsi="仿宋_GB2312" w:eastAsia="仿宋_GB2312" w:cs="仿宋_GB2312"/>
                <w:color w:val="000000"/>
                <w:sz w:val="28"/>
                <w:szCs w:val="28"/>
              </w:rPr>
            </w:pPr>
          </w:p>
          <w:p w14:paraId="27D94518">
            <w:pPr>
              <w:spacing w:line="244" w:lineRule="auto"/>
              <w:jc w:val="left"/>
              <w:rPr>
                <w:rFonts w:hint="eastAsia" w:ascii="仿宋_GB2312" w:hAnsi="仿宋_GB2312" w:eastAsia="仿宋_GB2312" w:cs="仿宋_GB2312"/>
                <w:color w:val="000000"/>
                <w:sz w:val="28"/>
                <w:szCs w:val="28"/>
              </w:rPr>
            </w:pPr>
          </w:p>
          <w:p w14:paraId="3C9E9A8B">
            <w:pPr>
              <w:pStyle w:val="11"/>
              <w:spacing w:before="78"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2"/>
                <w:sz w:val="28"/>
                <w:szCs w:val="28"/>
              </w:rPr>
              <w:t>用房权属要求</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19EF9FA5">
            <w:pPr>
              <w:pStyle w:val="11"/>
              <w:spacing w:before="113" w:line="337" w:lineRule="auto"/>
              <w:ind w:left="113" w:right="221" w:firstLine="23"/>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1"/>
                <w:sz w:val="28"/>
                <w:szCs w:val="28"/>
              </w:rPr>
              <w:t>★必须为权属（产权或经营管理权）清晰的现楼，保证在交接时和合同期内无出让、查封、抵押、担保等事项，没</w:t>
            </w:r>
            <w:r>
              <w:rPr>
                <w:rFonts w:hint="eastAsia" w:ascii="仿宋_GB2312" w:hAnsi="仿宋_GB2312" w:eastAsia="仿宋_GB2312" w:cs="仿宋_GB2312"/>
                <w:color w:val="000000"/>
                <w:spacing w:val="-6"/>
                <w:sz w:val="28"/>
                <w:szCs w:val="28"/>
              </w:rPr>
              <w:t>有其他法律纠纷，具备合法有效的权属证明。（提供房屋产</w:t>
            </w:r>
            <w:r>
              <w:rPr>
                <w:rFonts w:hint="eastAsia" w:ascii="仿宋_GB2312" w:hAnsi="仿宋_GB2312" w:eastAsia="仿宋_GB2312" w:cs="仿宋_GB2312"/>
                <w:color w:val="000000"/>
                <w:spacing w:val="-2"/>
                <w:sz w:val="28"/>
                <w:szCs w:val="28"/>
              </w:rPr>
              <w:t>权证明或房屋经营管理权证明和承诺函）</w:t>
            </w:r>
          </w:p>
        </w:tc>
      </w:tr>
      <w:tr w14:paraId="7E4F9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0BE326C4">
            <w:pPr>
              <w:spacing w:line="310" w:lineRule="auto"/>
              <w:jc w:val="center"/>
              <w:rPr>
                <w:rFonts w:hint="eastAsia" w:ascii="仿宋_GB2312" w:hAnsi="仿宋_GB2312" w:eastAsia="仿宋_GB2312" w:cs="仿宋_GB2312"/>
                <w:color w:val="000000"/>
                <w:sz w:val="28"/>
                <w:szCs w:val="28"/>
              </w:rPr>
            </w:pPr>
          </w:p>
          <w:p w14:paraId="71B94EBC">
            <w:pPr>
              <w:pStyle w:val="11"/>
              <w:spacing w:before="78" w:line="181" w:lineRule="auto"/>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7</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3B110E08">
            <w:pPr>
              <w:pStyle w:val="11"/>
              <w:spacing w:before="113" w:line="314" w:lineRule="auto"/>
              <w:ind w:right="197"/>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4"/>
                <w:sz w:val="28"/>
                <w:szCs w:val="28"/>
              </w:rPr>
              <w:t>水电、消防、</w:t>
            </w:r>
            <w:r>
              <w:rPr>
                <w:rFonts w:hint="eastAsia" w:ascii="仿宋_GB2312" w:hAnsi="仿宋_GB2312" w:eastAsia="仿宋_GB2312" w:cs="仿宋_GB2312"/>
                <w:color w:val="000000"/>
                <w:spacing w:val="3"/>
                <w:sz w:val="28"/>
                <w:szCs w:val="28"/>
              </w:rPr>
              <w:t xml:space="preserve"> </w:t>
            </w:r>
            <w:r>
              <w:rPr>
                <w:rFonts w:hint="eastAsia" w:ascii="仿宋_GB2312" w:hAnsi="仿宋_GB2312" w:eastAsia="仿宋_GB2312" w:cs="仿宋_GB2312"/>
                <w:color w:val="000000"/>
                <w:spacing w:val="-2"/>
                <w:sz w:val="28"/>
                <w:szCs w:val="28"/>
              </w:rPr>
              <w:t>监控配套</w:t>
            </w:r>
            <w:r>
              <w:rPr>
                <w:rFonts w:hint="eastAsia" w:ascii="仿宋_GB2312" w:hAnsi="仿宋_GB2312" w:eastAsia="仿宋_GB2312" w:cs="仿宋_GB2312"/>
                <w:color w:val="000000"/>
                <w:spacing w:val="-2"/>
                <w:sz w:val="28"/>
                <w:szCs w:val="28"/>
                <w:lang w:val="en-US" w:eastAsia="zh-CN"/>
              </w:rPr>
              <w:t>设</w:t>
            </w:r>
            <w:r>
              <w:rPr>
                <w:rFonts w:hint="eastAsia" w:ascii="仿宋_GB2312" w:hAnsi="仿宋_GB2312" w:eastAsia="仿宋_GB2312" w:cs="仿宋_GB2312"/>
                <w:color w:val="000000"/>
                <w:spacing w:val="-2"/>
                <w:sz w:val="28"/>
                <w:szCs w:val="28"/>
              </w:rPr>
              <w:t>施</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1E554250">
            <w:pPr>
              <w:pStyle w:val="11"/>
              <w:spacing w:before="113" w:line="314" w:lineRule="auto"/>
              <w:ind w:left="119" w:right="307" w:firstLine="15"/>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pacing w:val="-1"/>
                <w:sz w:val="28"/>
                <w:szCs w:val="28"/>
              </w:rPr>
              <w:t>★有（配备水电表，消防栓，配备灭火器、防毒面</w:t>
            </w:r>
            <w:r>
              <w:rPr>
                <w:rFonts w:hint="eastAsia" w:ascii="仿宋_GB2312" w:hAnsi="仿宋_GB2312" w:eastAsia="仿宋_GB2312" w:cs="仿宋_GB2312"/>
                <w:color w:val="000000"/>
                <w:spacing w:val="-2"/>
                <w:sz w:val="28"/>
                <w:szCs w:val="28"/>
              </w:rPr>
              <w:t>具、烟雾报警器，前后消防楼梯，监控设备）租赁期间由于建筑本身漏水、管道断裂等原因导致无法正常使用的，由投标人负责尽快处理维修。</w:t>
            </w:r>
            <w:r>
              <w:rPr>
                <w:rFonts w:hint="eastAsia" w:ascii="仿宋_GB2312" w:hAnsi="仿宋_GB2312" w:eastAsia="仿宋_GB2312" w:cs="仿宋_GB2312"/>
                <w:color w:val="000000"/>
                <w:spacing w:val="-2"/>
                <w:sz w:val="28"/>
                <w:szCs w:val="28"/>
                <w:lang w:eastAsia="zh-CN"/>
              </w:rPr>
              <w:t>（</w:t>
            </w:r>
            <w:r>
              <w:rPr>
                <w:rFonts w:hint="eastAsia" w:ascii="仿宋_GB2312" w:hAnsi="仿宋_GB2312" w:eastAsia="仿宋_GB2312" w:cs="仿宋_GB2312"/>
                <w:color w:val="000000"/>
                <w:spacing w:val="-2"/>
                <w:sz w:val="28"/>
                <w:szCs w:val="28"/>
                <w:lang w:val="en-US" w:eastAsia="zh-CN"/>
              </w:rPr>
              <w:t>维修期间需提供备用房可供暂居</w:t>
            </w:r>
            <w:r>
              <w:rPr>
                <w:rFonts w:hint="eastAsia" w:ascii="仿宋_GB2312" w:hAnsi="仿宋_GB2312" w:eastAsia="仿宋_GB2312" w:cs="仿宋_GB2312"/>
                <w:color w:val="000000"/>
                <w:spacing w:val="-2"/>
                <w:sz w:val="28"/>
                <w:szCs w:val="28"/>
                <w:lang w:eastAsia="zh-CN"/>
              </w:rPr>
              <w:t>）</w:t>
            </w:r>
          </w:p>
        </w:tc>
      </w:tr>
      <w:tr w14:paraId="35C4D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5F8BDF6B">
            <w:pPr>
              <w:pStyle w:val="11"/>
              <w:spacing w:before="157" w:line="180" w:lineRule="auto"/>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8</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352FEA66">
            <w:pPr>
              <w:pStyle w:val="11"/>
              <w:spacing w:before="115" w:line="220"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8"/>
                <w:sz w:val="28"/>
                <w:szCs w:val="28"/>
              </w:rPr>
              <w:t>电梯设施</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4064C83A">
            <w:pPr>
              <w:pStyle w:val="11"/>
              <w:spacing w:before="115" w:line="220" w:lineRule="auto"/>
              <w:ind w:left="13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有</w:t>
            </w:r>
          </w:p>
        </w:tc>
      </w:tr>
      <w:tr w14:paraId="7DB9D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1226628A">
            <w:pPr>
              <w:pStyle w:val="11"/>
              <w:spacing w:before="156" w:line="181" w:lineRule="auto"/>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9</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6F24C68B">
            <w:pPr>
              <w:pStyle w:val="11"/>
              <w:spacing w:before="115" w:line="221"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4"/>
                <w:sz w:val="28"/>
                <w:szCs w:val="28"/>
              </w:rPr>
              <w:t>空调设施</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6EDA55E5">
            <w:pPr>
              <w:pStyle w:val="11"/>
              <w:spacing w:before="115" w:line="220" w:lineRule="auto"/>
              <w:ind w:left="13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2"/>
                <w:sz w:val="28"/>
                <w:szCs w:val="28"/>
              </w:rPr>
              <w:t>有（每个房间配备独立空调）</w:t>
            </w:r>
          </w:p>
        </w:tc>
      </w:tr>
      <w:tr w14:paraId="1C1BF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60944BB9">
            <w:pPr>
              <w:pStyle w:val="11"/>
              <w:spacing w:before="159" w:line="181" w:lineRule="auto"/>
              <w:jc w:val="center"/>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10</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581691A7">
            <w:pPr>
              <w:pStyle w:val="11"/>
              <w:spacing w:before="118" w:line="221" w:lineRule="auto"/>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6"/>
                <w:sz w:val="28"/>
                <w:szCs w:val="28"/>
              </w:rPr>
              <w:t>网络设施</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0F75243F">
            <w:pPr>
              <w:pStyle w:val="11"/>
              <w:spacing w:before="118" w:line="220" w:lineRule="auto"/>
              <w:ind w:left="13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pacing w:val="-2"/>
                <w:sz w:val="28"/>
                <w:szCs w:val="28"/>
              </w:rPr>
              <w:t>有（配备可正常使用的光纤网络）</w:t>
            </w:r>
          </w:p>
        </w:tc>
      </w:tr>
      <w:tr w14:paraId="6A8C4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11BC3CBE">
            <w:pPr>
              <w:spacing w:line="245" w:lineRule="auto"/>
              <w:jc w:val="center"/>
              <w:rPr>
                <w:rFonts w:hint="eastAsia" w:ascii="仿宋_GB2312" w:hAnsi="仿宋_GB2312" w:eastAsia="仿宋_GB2312" w:cs="仿宋_GB2312"/>
                <w:color w:val="000000"/>
                <w:sz w:val="28"/>
                <w:szCs w:val="28"/>
              </w:rPr>
            </w:pPr>
          </w:p>
          <w:p w14:paraId="1128DDC2">
            <w:pPr>
              <w:pStyle w:val="11"/>
              <w:spacing w:before="78" w:line="182" w:lineRule="auto"/>
              <w:jc w:val="center"/>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11</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323F0A98">
            <w:pPr>
              <w:spacing w:line="286" w:lineRule="auto"/>
              <w:jc w:val="left"/>
              <w:rPr>
                <w:rFonts w:hint="eastAsia" w:ascii="仿宋_GB2312" w:hAnsi="仿宋_GB2312" w:eastAsia="仿宋_GB2312" w:cs="仿宋_GB2312"/>
                <w:color w:val="000000"/>
                <w:sz w:val="28"/>
                <w:szCs w:val="28"/>
              </w:rPr>
            </w:pPr>
          </w:p>
          <w:p w14:paraId="2E97B080">
            <w:pPr>
              <w:pStyle w:val="11"/>
              <w:spacing w:before="78" w:line="220" w:lineRule="auto"/>
              <w:jc w:val="left"/>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pacing w:val="-2"/>
                <w:sz w:val="28"/>
                <w:szCs w:val="28"/>
              </w:rPr>
              <w:t>设施</w:t>
            </w:r>
            <w:r>
              <w:rPr>
                <w:rFonts w:hint="eastAsia" w:ascii="仿宋_GB2312" w:hAnsi="仿宋_GB2312" w:eastAsia="仿宋_GB2312" w:cs="仿宋_GB2312"/>
                <w:color w:val="000000"/>
                <w:spacing w:val="-2"/>
                <w:sz w:val="28"/>
                <w:szCs w:val="28"/>
                <w:lang w:val="en-US" w:eastAsia="zh-CN"/>
              </w:rPr>
              <w:t>要求</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14C352FB">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pacing w:val="-8"/>
                <w:sz w:val="28"/>
                <w:szCs w:val="28"/>
              </w:rPr>
            </w:pPr>
            <w:r>
              <w:rPr>
                <w:rFonts w:hint="eastAsia" w:ascii="仿宋_GB2312" w:hAnsi="仿宋_GB2312" w:eastAsia="仿宋_GB2312" w:cs="仿宋_GB2312"/>
                <w:color w:val="000000"/>
                <w:spacing w:val="-1"/>
                <w:sz w:val="28"/>
                <w:szCs w:val="28"/>
              </w:rPr>
              <w:t>★</w:t>
            </w:r>
            <w:r>
              <w:rPr>
                <w:rFonts w:hint="eastAsia" w:ascii="仿宋_GB2312" w:hAnsi="仿宋_GB2312" w:eastAsia="仿宋_GB2312" w:cs="仿宋_GB2312"/>
                <w:color w:val="000000"/>
                <w:spacing w:val="-2"/>
                <w:sz w:val="28"/>
                <w:szCs w:val="28"/>
                <w:lang w:val="en-US" w:eastAsia="zh-CN" w:bidi="ar-SA"/>
              </w:rPr>
              <w:t>供应商宿舍内具有独立洗手间、热水器、洗衣机、床（1.5米一张或1.2米2张，含床垫）、衣柜（或储物柜）、桌椅、窗帘，达到拎包入住条件。</w:t>
            </w:r>
          </w:p>
        </w:tc>
      </w:tr>
      <w:tr w14:paraId="76BA6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59580A95">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center"/>
              <w:textAlignment w:val="auto"/>
              <w:rPr>
                <w:rFonts w:hint="default"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12</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2BEDE26F">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需求数量</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4767A958">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首期不少于60套，</w:t>
            </w:r>
            <w:r>
              <w:rPr>
                <w:rFonts w:hint="eastAsia" w:ascii="仿宋_GB2312" w:hAnsi="仿宋_GB2312" w:eastAsia="仿宋_GB2312" w:cs="仿宋_GB2312"/>
                <w:color w:val="000000"/>
                <w:spacing w:val="-2"/>
                <w:sz w:val="28"/>
                <w:szCs w:val="28"/>
                <w:lang w:val="en-US" w:eastAsia="en-US" w:bidi="ar-SA"/>
              </w:rPr>
              <w:t>单间</w:t>
            </w:r>
            <w:r>
              <w:rPr>
                <w:rFonts w:hint="eastAsia" w:ascii="仿宋_GB2312" w:hAnsi="仿宋_GB2312" w:eastAsia="仿宋_GB2312" w:cs="仿宋_GB2312"/>
                <w:color w:val="000000"/>
                <w:spacing w:val="-2"/>
                <w:sz w:val="28"/>
                <w:szCs w:val="28"/>
                <w:lang w:val="en-US" w:eastAsia="zh-CN" w:bidi="ar-SA"/>
              </w:rPr>
              <w:t>或一房一厅。</w:t>
            </w:r>
          </w:p>
        </w:tc>
      </w:tr>
      <w:tr w14:paraId="2719B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16" w:type="pct"/>
            <w:tcBorders>
              <w:top w:val="single" w:color="5B5B5B" w:sz="8" w:space="0"/>
              <w:left w:val="single" w:color="5B5B5B" w:sz="8" w:space="0"/>
              <w:bottom w:val="single" w:color="5B5B5B" w:sz="8" w:space="0"/>
              <w:right w:val="single" w:color="5B5B5B" w:sz="8" w:space="0"/>
            </w:tcBorders>
            <w:shd w:val="clear" w:color="auto" w:fill="FEFEFE"/>
            <w:vAlign w:val="top"/>
          </w:tcPr>
          <w:p w14:paraId="4C7465B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000000"/>
                <w:spacing w:val="-2"/>
                <w:sz w:val="28"/>
                <w:szCs w:val="28"/>
                <w:lang w:val="en-US" w:eastAsia="zh-CN" w:bidi="ar-SA"/>
              </w:rPr>
            </w:pPr>
          </w:p>
          <w:p w14:paraId="7FD7707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center"/>
              <w:textAlignment w:val="auto"/>
              <w:rPr>
                <w:rFonts w:hint="default"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13</w:t>
            </w:r>
          </w:p>
        </w:tc>
        <w:tc>
          <w:tcPr>
            <w:tcW w:w="929" w:type="pct"/>
            <w:tcBorders>
              <w:top w:val="single" w:color="5B5B5B" w:sz="8" w:space="0"/>
              <w:left w:val="single" w:color="5B5B5B" w:sz="8" w:space="0"/>
              <w:bottom w:val="single" w:color="5B5B5B" w:sz="8" w:space="0"/>
              <w:right w:val="single" w:color="5B5B5B" w:sz="8" w:space="0"/>
            </w:tcBorders>
            <w:shd w:val="clear" w:color="auto" w:fill="FEFEFE"/>
            <w:vAlign w:val="top"/>
          </w:tcPr>
          <w:p w14:paraId="7727DB0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pacing w:val="-2"/>
                <w:sz w:val="28"/>
                <w:szCs w:val="28"/>
                <w:lang w:val="en-US" w:eastAsia="zh-CN" w:bidi="ar-SA"/>
              </w:rPr>
            </w:pPr>
          </w:p>
          <w:p w14:paraId="309D940E">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default"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装修标准</w:t>
            </w:r>
          </w:p>
        </w:tc>
        <w:tc>
          <w:tcPr>
            <w:tcW w:w="3653" w:type="pct"/>
            <w:tcBorders>
              <w:top w:val="single" w:color="5B5B5B" w:sz="8" w:space="0"/>
              <w:left w:val="single" w:color="5B5B5B" w:sz="8" w:space="0"/>
              <w:bottom w:val="single" w:color="5B5B5B" w:sz="8" w:space="0"/>
              <w:right w:val="single" w:color="5B5B5B" w:sz="8" w:space="0"/>
            </w:tcBorders>
            <w:shd w:val="clear" w:color="auto" w:fill="FEFEFE"/>
            <w:vAlign w:val="top"/>
          </w:tcPr>
          <w:p w14:paraId="32107B9A">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color w:val="000000"/>
                <w:spacing w:val="-2"/>
                <w:sz w:val="28"/>
                <w:szCs w:val="28"/>
                <w:lang w:val="en-US" w:eastAsia="zh-CN" w:bidi="ar-SA"/>
              </w:rPr>
            </w:pPr>
            <w:r>
              <w:rPr>
                <w:rFonts w:hint="eastAsia" w:ascii="仿宋_GB2312" w:hAnsi="仿宋_GB2312" w:eastAsia="仿宋_GB2312" w:cs="仿宋_GB2312"/>
                <w:color w:val="000000"/>
                <w:spacing w:val="-2"/>
                <w:sz w:val="28"/>
                <w:szCs w:val="28"/>
                <w:lang w:val="en-US" w:eastAsia="zh-CN" w:bidi="ar-SA"/>
              </w:rPr>
              <w:t>简单装修，装修材料达到环保要求；内墙面平整、光滑，窗户质量好，隔音效果强；房屋空气无异味且甲醛含量不超过国家标准（需附检测报告）。</w:t>
            </w:r>
          </w:p>
        </w:tc>
      </w:tr>
    </w:tbl>
    <w:p w14:paraId="76D05E6D">
      <w:pPr>
        <w:numPr>
          <w:ilvl w:val="0"/>
          <w:numId w:val="0"/>
        </w:numPr>
        <w:tabs>
          <w:tab w:val="left" w:pos="540"/>
        </w:tabs>
        <w:autoSpaceDE/>
        <w:autoSpaceDN/>
        <w:snapToGrid w:val="0"/>
        <w:spacing w:line="360" w:lineRule="auto"/>
        <w:ind w:firstLine="640" w:firstLineChars="200"/>
        <w:jc w:val="both"/>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房屋验收交付时，房屋基本配备需按照下表所示进行配备：</w:t>
      </w:r>
    </w:p>
    <w:tbl>
      <w:tblPr>
        <w:tblStyle w:val="10"/>
        <w:tblW w:w="504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9"/>
        <w:gridCol w:w="1465"/>
        <w:gridCol w:w="3866"/>
        <w:gridCol w:w="683"/>
        <w:gridCol w:w="648"/>
        <w:gridCol w:w="1112"/>
      </w:tblGrid>
      <w:tr w14:paraId="626D2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5000" w:type="pct"/>
            <w:gridSpan w:val="6"/>
            <w:vAlign w:val="top"/>
          </w:tcPr>
          <w:p w14:paraId="22E3E202">
            <w:pPr>
              <w:pStyle w:val="11"/>
              <w:spacing w:before="134" w:line="228" w:lineRule="auto"/>
              <w:ind w:left="0"/>
              <w:jc w:val="center"/>
            </w:pPr>
            <w:r>
              <w:rPr>
                <w:rFonts w:hint="eastAsia"/>
                <w:spacing w:val="8"/>
                <w:lang w:val="en-US" w:eastAsia="zh-CN"/>
              </w:rPr>
              <w:t>房屋最低标准配置需求</w:t>
            </w:r>
            <w:r>
              <w:rPr>
                <w:spacing w:val="8"/>
              </w:rPr>
              <w:t>明细</w:t>
            </w:r>
          </w:p>
        </w:tc>
      </w:tr>
      <w:tr w14:paraId="3D9AE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369" w:type="pct"/>
            <w:vAlign w:val="top"/>
          </w:tcPr>
          <w:p w14:paraId="28C8E704">
            <w:pPr>
              <w:pStyle w:val="11"/>
              <w:spacing w:before="129" w:line="229" w:lineRule="auto"/>
              <w:ind w:left="173"/>
              <w:jc w:val="both"/>
            </w:pPr>
            <w:r>
              <w:rPr>
                <w:spacing w:val="5"/>
              </w:rPr>
              <w:t>序号</w:t>
            </w:r>
          </w:p>
        </w:tc>
        <w:tc>
          <w:tcPr>
            <w:tcW w:w="873" w:type="pct"/>
            <w:vAlign w:val="top"/>
          </w:tcPr>
          <w:p w14:paraId="5304CFE1">
            <w:pPr>
              <w:pStyle w:val="11"/>
              <w:spacing w:before="129" w:line="230" w:lineRule="auto"/>
              <w:ind w:left="676"/>
              <w:jc w:val="both"/>
            </w:pPr>
            <w:r>
              <w:rPr>
                <w:spacing w:val="3"/>
              </w:rPr>
              <w:t>名称</w:t>
            </w:r>
          </w:p>
        </w:tc>
        <w:tc>
          <w:tcPr>
            <w:tcW w:w="2303" w:type="pct"/>
            <w:vAlign w:val="top"/>
          </w:tcPr>
          <w:p w14:paraId="0639E5DA">
            <w:pPr>
              <w:pStyle w:val="11"/>
              <w:spacing w:before="129" w:line="227" w:lineRule="auto"/>
              <w:ind w:left="489"/>
              <w:jc w:val="center"/>
            </w:pPr>
            <w:r>
              <w:rPr>
                <w:spacing w:val="4"/>
              </w:rPr>
              <w:t>规格</w:t>
            </w:r>
          </w:p>
        </w:tc>
        <w:tc>
          <w:tcPr>
            <w:tcW w:w="407" w:type="pct"/>
            <w:vAlign w:val="top"/>
          </w:tcPr>
          <w:p w14:paraId="58905E46">
            <w:pPr>
              <w:pStyle w:val="11"/>
              <w:spacing w:before="129" w:line="228" w:lineRule="auto"/>
              <w:ind w:left="168"/>
              <w:jc w:val="both"/>
            </w:pPr>
            <w:r>
              <w:rPr>
                <w:spacing w:val="3"/>
              </w:rPr>
              <w:t>数量</w:t>
            </w:r>
          </w:p>
        </w:tc>
        <w:tc>
          <w:tcPr>
            <w:tcW w:w="386" w:type="pct"/>
            <w:vAlign w:val="top"/>
          </w:tcPr>
          <w:p w14:paraId="36F8F5DF">
            <w:pPr>
              <w:pStyle w:val="11"/>
              <w:spacing w:before="130" w:line="228" w:lineRule="auto"/>
              <w:ind w:left="116"/>
              <w:jc w:val="both"/>
            </w:pPr>
            <w:r>
              <w:rPr>
                <w:spacing w:val="3"/>
              </w:rPr>
              <w:t>单位</w:t>
            </w:r>
          </w:p>
        </w:tc>
        <w:tc>
          <w:tcPr>
            <w:tcW w:w="659" w:type="pct"/>
            <w:vAlign w:val="top"/>
          </w:tcPr>
          <w:p w14:paraId="1DDEB28A">
            <w:pPr>
              <w:pStyle w:val="11"/>
              <w:spacing w:before="129" w:line="229" w:lineRule="auto"/>
              <w:ind w:left="0"/>
              <w:jc w:val="center"/>
            </w:pPr>
            <w:r>
              <w:rPr>
                <w:spacing w:val="3"/>
              </w:rPr>
              <w:t>备注</w:t>
            </w:r>
          </w:p>
        </w:tc>
      </w:tr>
      <w:tr w14:paraId="535C9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369" w:type="pct"/>
            <w:vAlign w:val="top"/>
          </w:tcPr>
          <w:p w14:paraId="38CB8063">
            <w:pPr>
              <w:pStyle w:val="11"/>
              <w:spacing w:before="164" w:line="189" w:lineRule="auto"/>
              <w:ind w:left="346"/>
              <w:jc w:val="both"/>
            </w:pPr>
            <w:r>
              <w:t>1</w:t>
            </w:r>
          </w:p>
        </w:tc>
        <w:tc>
          <w:tcPr>
            <w:tcW w:w="873" w:type="pct"/>
            <w:vAlign w:val="top"/>
          </w:tcPr>
          <w:p w14:paraId="6C7E50E7">
            <w:pPr>
              <w:pStyle w:val="11"/>
              <w:spacing w:before="132" w:line="228" w:lineRule="auto"/>
              <w:ind w:right="11"/>
              <w:jc w:val="center"/>
              <w:rPr>
                <w:rFonts w:hint="default" w:eastAsia="宋体"/>
                <w:lang w:val="en-US" w:eastAsia="zh-CN"/>
              </w:rPr>
            </w:pPr>
            <w:r>
              <w:rPr>
                <w:rFonts w:hint="eastAsia"/>
                <w:lang w:val="en-US" w:eastAsia="zh-CN"/>
              </w:rPr>
              <w:t>床</w:t>
            </w:r>
          </w:p>
        </w:tc>
        <w:tc>
          <w:tcPr>
            <w:tcW w:w="2303" w:type="pct"/>
            <w:vAlign w:val="top"/>
          </w:tcPr>
          <w:p w14:paraId="1A9BF4C1">
            <w:pPr>
              <w:pStyle w:val="11"/>
              <w:spacing w:before="132" w:line="228" w:lineRule="auto"/>
              <w:ind w:left="488"/>
              <w:jc w:val="both"/>
              <w:rPr>
                <w:rFonts w:hint="eastAsia" w:eastAsia="宋体"/>
                <w:lang w:val="en-US" w:eastAsia="zh-CN"/>
              </w:rPr>
            </w:pPr>
            <w:r>
              <w:rPr>
                <w:rFonts w:hint="eastAsia"/>
                <w:spacing w:val="3"/>
                <w:lang w:val="en-US" w:eastAsia="zh-CN"/>
              </w:rPr>
              <w:t>1.2M*2上下铺或1.5大床</w:t>
            </w:r>
          </w:p>
        </w:tc>
        <w:tc>
          <w:tcPr>
            <w:tcW w:w="407" w:type="pct"/>
            <w:vAlign w:val="top"/>
          </w:tcPr>
          <w:p w14:paraId="561855FF">
            <w:pPr>
              <w:pStyle w:val="11"/>
              <w:spacing w:before="164" w:line="189" w:lineRule="auto"/>
              <w:jc w:val="center"/>
              <w:rPr>
                <w:rFonts w:hint="default" w:eastAsia="宋体"/>
                <w:lang w:val="en-US" w:eastAsia="zh-CN"/>
              </w:rPr>
            </w:pPr>
            <w:r>
              <w:rPr>
                <w:rFonts w:hint="eastAsia"/>
                <w:lang w:val="en-US" w:eastAsia="zh-CN"/>
              </w:rPr>
              <w:t>1</w:t>
            </w:r>
          </w:p>
        </w:tc>
        <w:tc>
          <w:tcPr>
            <w:tcW w:w="386" w:type="pct"/>
            <w:vAlign w:val="top"/>
          </w:tcPr>
          <w:p w14:paraId="4BCB32B1">
            <w:pPr>
              <w:pStyle w:val="11"/>
              <w:spacing w:before="131" w:line="228" w:lineRule="auto"/>
              <w:ind w:left="220"/>
              <w:jc w:val="both"/>
              <w:rPr>
                <w:rFonts w:hint="eastAsia" w:eastAsia="宋体"/>
                <w:lang w:eastAsia="zh-CN"/>
              </w:rPr>
            </w:pPr>
            <w:r>
              <w:rPr>
                <w:rFonts w:hint="eastAsia"/>
                <w:lang w:val="en-US" w:eastAsia="zh-CN"/>
              </w:rPr>
              <w:t>张</w:t>
            </w:r>
          </w:p>
        </w:tc>
        <w:tc>
          <w:tcPr>
            <w:tcW w:w="659" w:type="pct"/>
            <w:vMerge w:val="restart"/>
            <w:vAlign w:val="top"/>
          </w:tcPr>
          <w:p w14:paraId="29353AD9">
            <w:pPr>
              <w:jc w:val="center"/>
              <w:rPr>
                <w:rFonts w:hint="default" w:ascii="Arial" w:eastAsia="宋体"/>
                <w:sz w:val="21"/>
                <w:lang w:val="en-US" w:eastAsia="zh-CN"/>
              </w:rPr>
            </w:pPr>
            <w:r>
              <w:rPr>
                <w:rFonts w:hint="eastAsia" w:ascii="Arial"/>
                <w:sz w:val="21"/>
                <w:lang w:val="en-US" w:eastAsia="zh-CN"/>
              </w:rPr>
              <w:t>全新或9.5成新以上</w:t>
            </w:r>
          </w:p>
        </w:tc>
      </w:tr>
      <w:tr w14:paraId="79BA0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369" w:type="pct"/>
            <w:vAlign w:val="top"/>
          </w:tcPr>
          <w:p w14:paraId="033670D1">
            <w:pPr>
              <w:pStyle w:val="11"/>
              <w:spacing w:before="165" w:line="189" w:lineRule="auto"/>
              <w:ind w:left="333"/>
              <w:jc w:val="both"/>
            </w:pPr>
            <w:r>
              <w:t>2</w:t>
            </w:r>
          </w:p>
        </w:tc>
        <w:tc>
          <w:tcPr>
            <w:tcW w:w="873" w:type="pct"/>
            <w:vAlign w:val="top"/>
          </w:tcPr>
          <w:p w14:paraId="01F85B4D">
            <w:pPr>
              <w:pStyle w:val="11"/>
              <w:spacing w:before="132" w:line="228" w:lineRule="auto"/>
              <w:jc w:val="center"/>
              <w:rPr>
                <w:rFonts w:hint="eastAsia" w:eastAsia="宋体"/>
                <w:lang w:eastAsia="zh-CN"/>
              </w:rPr>
            </w:pPr>
            <w:r>
              <w:rPr>
                <w:rFonts w:hint="eastAsia"/>
                <w:spacing w:val="4"/>
                <w:lang w:val="en-US" w:eastAsia="zh-CN"/>
              </w:rPr>
              <w:t>智能门锁</w:t>
            </w:r>
          </w:p>
        </w:tc>
        <w:tc>
          <w:tcPr>
            <w:tcW w:w="2303" w:type="pct"/>
            <w:vAlign w:val="top"/>
          </w:tcPr>
          <w:p w14:paraId="0BFF2332">
            <w:pPr>
              <w:pStyle w:val="11"/>
              <w:spacing w:before="132" w:line="228" w:lineRule="auto"/>
              <w:ind w:left="488"/>
              <w:jc w:val="center"/>
              <w:rPr>
                <w:rFonts w:hint="eastAsia" w:eastAsia="宋体"/>
                <w:lang w:eastAsia="zh-CN"/>
              </w:rPr>
            </w:pPr>
            <w:r>
              <w:rPr>
                <w:rFonts w:hint="eastAsia"/>
                <w:lang w:val="en-US" w:eastAsia="zh-CN"/>
              </w:rPr>
              <w:t>常规</w:t>
            </w:r>
          </w:p>
        </w:tc>
        <w:tc>
          <w:tcPr>
            <w:tcW w:w="407" w:type="pct"/>
            <w:vAlign w:val="top"/>
          </w:tcPr>
          <w:p w14:paraId="62D08ADC">
            <w:pPr>
              <w:pStyle w:val="11"/>
              <w:spacing w:before="165" w:line="189" w:lineRule="auto"/>
              <w:jc w:val="center"/>
              <w:rPr>
                <w:rFonts w:hint="default" w:eastAsia="宋体"/>
                <w:lang w:val="en-US" w:eastAsia="zh-CN"/>
              </w:rPr>
            </w:pPr>
            <w:r>
              <w:rPr>
                <w:rFonts w:hint="eastAsia"/>
                <w:lang w:val="en-US" w:eastAsia="zh-CN"/>
              </w:rPr>
              <w:t>1</w:t>
            </w:r>
          </w:p>
        </w:tc>
        <w:tc>
          <w:tcPr>
            <w:tcW w:w="386" w:type="pct"/>
            <w:vAlign w:val="top"/>
          </w:tcPr>
          <w:p w14:paraId="28B3DA65">
            <w:pPr>
              <w:pStyle w:val="11"/>
              <w:spacing w:before="132" w:line="228" w:lineRule="auto"/>
              <w:ind w:left="220"/>
              <w:jc w:val="both"/>
              <w:rPr>
                <w:rFonts w:hint="eastAsia" w:eastAsia="宋体"/>
                <w:lang w:val="en-US" w:eastAsia="zh-CN"/>
              </w:rPr>
            </w:pPr>
            <w:r>
              <w:rPr>
                <w:rFonts w:hint="eastAsia"/>
                <w:lang w:val="en-US" w:eastAsia="zh-CN"/>
              </w:rPr>
              <w:t>把</w:t>
            </w:r>
          </w:p>
        </w:tc>
        <w:tc>
          <w:tcPr>
            <w:tcW w:w="659" w:type="pct"/>
            <w:vMerge w:val="continue"/>
            <w:vAlign w:val="top"/>
          </w:tcPr>
          <w:p w14:paraId="268DCD7C">
            <w:pPr>
              <w:jc w:val="center"/>
              <w:rPr>
                <w:rFonts w:ascii="Arial"/>
                <w:sz w:val="21"/>
              </w:rPr>
            </w:pPr>
          </w:p>
        </w:tc>
      </w:tr>
      <w:tr w14:paraId="39FB5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369" w:type="pct"/>
            <w:vAlign w:val="top"/>
          </w:tcPr>
          <w:p w14:paraId="7226ECEE">
            <w:pPr>
              <w:pStyle w:val="11"/>
              <w:spacing w:before="166" w:line="189" w:lineRule="auto"/>
              <w:ind w:left="334"/>
              <w:jc w:val="both"/>
            </w:pPr>
            <w:r>
              <w:t>3</w:t>
            </w:r>
          </w:p>
        </w:tc>
        <w:tc>
          <w:tcPr>
            <w:tcW w:w="873" w:type="pct"/>
            <w:vAlign w:val="top"/>
          </w:tcPr>
          <w:p w14:paraId="3FD59FC9">
            <w:pPr>
              <w:pStyle w:val="11"/>
              <w:spacing w:before="133" w:line="228" w:lineRule="auto"/>
              <w:jc w:val="center"/>
            </w:pPr>
            <w:r>
              <w:rPr>
                <w:rFonts w:hint="eastAsia"/>
                <w:spacing w:val="7"/>
              </w:rPr>
              <w:t>洗衣机</w:t>
            </w:r>
          </w:p>
        </w:tc>
        <w:tc>
          <w:tcPr>
            <w:tcW w:w="2303" w:type="pct"/>
            <w:vAlign w:val="top"/>
          </w:tcPr>
          <w:p w14:paraId="4BAFD519">
            <w:pPr>
              <w:pStyle w:val="11"/>
              <w:spacing w:before="134" w:line="228" w:lineRule="auto"/>
              <w:ind w:left="490"/>
              <w:jc w:val="center"/>
            </w:pPr>
            <w:r>
              <w:rPr>
                <w:rFonts w:hint="eastAsia"/>
                <w:lang w:val="en-US" w:eastAsia="zh-CN"/>
              </w:rPr>
              <w:t>适用于2人使用</w:t>
            </w:r>
          </w:p>
        </w:tc>
        <w:tc>
          <w:tcPr>
            <w:tcW w:w="407" w:type="pct"/>
            <w:vAlign w:val="top"/>
          </w:tcPr>
          <w:p w14:paraId="66D38366">
            <w:pPr>
              <w:pStyle w:val="11"/>
              <w:spacing w:before="166" w:line="189" w:lineRule="auto"/>
              <w:jc w:val="center"/>
              <w:rPr>
                <w:rFonts w:hint="eastAsia" w:eastAsia="宋体"/>
                <w:lang w:val="en-US" w:eastAsia="zh-CN"/>
              </w:rPr>
            </w:pPr>
            <w:r>
              <w:rPr>
                <w:rFonts w:hint="eastAsia"/>
                <w:lang w:val="en-US" w:eastAsia="zh-CN"/>
              </w:rPr>
              <w:t>1</w:t>
            </w:r>
          </w:p>
        </w:tc>
        <w:tc>
          <w:tcPr>
            <w:tcW w:w="386" w:type="pct"/>
            <w:vAlign w:val="top"/>
          </w:tcPr>
          <w:p w14:paraId="6A568C45">
            <w:pPr>
              <w:pStyle w:val="11"/>
              <w:spacing w:before="133" w:line="228" w:lineRule="auto"/>
              <w:ind w:left="220"/>
              <w:jc w:val="both"/>
              <w:rPr>
                <w:rFonts w:hint="eastAsia" w:eastAsia="宋体"/>
                <w:lang w:eastAsia="zh-CN"/>
              </w:rPr>
            </w:pPr>
            <w:r>
              <w:rPr>
                <w:rFonts w:hint="eastAsia"/>
                <w:lang w:val="en-US" w:eastAsia="zh-CN"/>
              </w:rPr>
              <w:t>台</w:t>
            </w:r>
          </w:p>
        </w:tc>
        <w:tc>
          <w:tcPr>
            <w:tcW w:w="659" w:type="pct"/>
            <w:vMerge w:val="continue"/>
            <w:vAlign w:val="top"/>
          </w:tcPr>
          <w:p w14:paraId="7A3037AE">
            <w:pPr>
              <w:jc w:val="center"/>
              <w:rPr>
                <w:rFonts w:ascii="Arial"/>
                <w:sz w:val="21"/>
              </w:rPr>
            </w:pPr>
          </w:p>
        </w:tc>
      </w:tr>
      <w:tr w14:paraId="3891D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3FFE4728">
            <w:pPr>
              <w:pStyle w:val="11"/>
              <w:spacing w:before="167" w:line="189" w:lineRule="auto"/>
              <w:ind w:left="329"/>
              <w:jc w:val="both"/>
            </w:pPr>
            <w:r>
              <w:t>4</w:t>
            </w:r>
          </w:p>
        </w:tc>
        <w:tc>
          <w:tcPr>
            <w:tcW w:w="873" w:type="pct"/>
            <w:vAlign w:val="top"/>
          </w:tcPr>
          <w:p w14:paraId="10C1537A">
            <w:pPr>
              <w:pStyle w:val="11"/>
              <w:spacing w:before="134" w:line="228" w:lineRule="auto"/>
              <w:jc w:val="center"/>
            </w:pPr>
            <w:r>
              <w:rPr>
                <w:rFonts w:hint="eastAsia"/>
                <w:spacing w:val="7"/>
              </w:rPr>
              <w:t>冰箱</w:t>
            </w:r>
          </w:p>
        </w:tc>
        <w:tc>
          <w:tcPr>
            <w:tcW w:w="2303" w:type="pct"/>
            <w:vAlign w:val="top"/>
          </w:tcPr>
          <w:p w14:paraId="6CB2C38E">
            <w:pPr>
              <w:pStyle w:val="11"/>
              <w:spacing w:before="135" w:line="228" w:lineRule="auto"/>
              <w:ind w:left="279"/>
              <w:jc w:val="center"/>
            </w:pPr>
            <w:r>
              <w:rPr>
                <w:rFonts w:hint="eastAsia"/>
                <w:lang w:val="en-US" w:eastAsia="zh-CN"/>
              </w:rPr>
              <w:t>适用于2人使用</w:t>
            </w:r>
          </w:p>
        </w:tc>
        <w:tc>
          <w:tcPr>
            <w:tcW w:w="407" w:type="pct"/>
            <w:vAlign w:val="top"/>
          </w:tcPr>
          <w:p w14:paraId="298B10C9">
            <w:pPr>
              <w:pStyle w:val="11"/>
              <w:spacing w:before="167" w:line="189" w:lineRule="auto"/>
              <w:jc w:val="center"/>
              <w:rPr>
                <w:rFonts w:hint="eastAsia" w:eastAsia="宋体"/>
                <w:lang w:val="en-US" w:eastAsia="zh-CN"/>
              </w:rPr>
            </w:pPr>
            <w:r>
              <w:rPr>
                <w:rFonts w:hint="eastAsia"/>
                <w:lang w:val="en-US" w:eastAsia="zh-CN"/>
              </w:rPr>
              <w:t>1</w:t>
            </w:r>
          </w:p>
        </w:tc>
        <w:tc>
          <w:tcPr>
            <w:tcW w:w="386" w:type="pct"/>
            <w:vAlign w:val="top"/>
          </w:tcPr>
          <w:p w14:paraId="7DE52DEE">
            <w:pPr>
              <w:pStyle w:val="11"/>
              <w:spacing w:before="134" w:line="228" w:lineRule="auto"/>
              <w:ind w:left="220"/>
              <w:jc w:val="both"/>
              <w:rPr>
                <w:rFonts w:hint="eastAsia" w:eastAsia="宋体"/>
                <w:lang w:val="en-US" w:eastAsia="zh-CN"/>
              </w:rPr>
            </w:pPr>
            <w:r>
              <w:rPr>
                <w:rFonts w:hint="eastAsia"/>
                <w:lang w:val="en-US" w:eastAsia="zh-CN"/>
              </w:rPr>
              <w:t>台</w:t>
            </w:r>
          </w:p>
        </w:tc>
        <w:tc>
          <w:tcPr>
            <w:tcW w:w="659" w:type="pct"/>
            <w:vMerge w:val="continue"/>
            <w:vAlign w:val="top"/>
          </w:tcPr>
          <w:p w14:paraId="208A2360">
            <w:pPr>
              <w:pStyle w:val="11"/>
              <w:spacing w:before="134" w:line="228" w:lineRule="auto"/>
              <w:ind w:left="487"/>
              <w:jc w:val="center"/>
            </w:pPr>
          </w:p>
        </w:tc>
      </w:tr>
      <w:tr w14:paraId="17B1A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7335D42C">
            <w:pPr>
              <w:pStyle w:val="11"/>
              <w:spacing w:before="167" w:line="189" w:lineRule="auto"/>
              <w:ind w:left="329"/>
              <w:jc w:val="both"/>
              <w:rPr>
                <w:rFonts w:hint="eastAsia" w:eastAsia="宋体"/>
                <w:lang w:val="en-US" w:eastAsia="zh-CN"/>
              </w:rPr>
            </w:pPr>
            <w:r>
              <w:rPr>
                <w:rFonts w:hint="eastAsia"/>
                <w:lang w:val="en-US" w:eastAsia="zh-CN"/>
              </w:rPr>
              <w:t>5</w:t>
            </w:r>
          </w:p>
        </w:tc>
        <w:tc>
          <w:tcPr>
            <w:tcW w:w="873" w:type="pct"/>
            <w:vAlign w:val="top"/>
          </w:tcPr>
          <w:p w14:paraId="395D2737">
            <w:pPr>
              <w:pStyle w:val="11"/>
              <w:spacing w:before="134" w:line="228" w:lineRule="auto"/>
              <w:jc w:val="center"/>
              <w:rPr>
                <w:spacing w:val="7"/>
              </w:rPr>
            </w:pPr>
            <w:r>
              <w:rPr>
                <w:rFonts w:hint="eastAsia"/>
                <w:spacing w:val="7"/>
              </w:rPr>
              <w:t>空调</w:t>
            </w:r>
          </w:p>
        </w:tc>
        <w:tc>
          <w:tcPr>
            <w:tcW w:w="2303" w:type="pct"/>
            <w:vAlign w:val="top"/>
          </w:tcPr>
          <w:p w14:paraId="6E7B1166">
            <w:pPr>
              <w:pStyle w:val="11"/>
              <w:spacing w:before="135" w:line="228" w:lineRule="auto"/>
              <w:ind w:left="279"/>
              <w:jc w:val="center"/>
              <w:rPr>
                <w:spacing w:val="7"/>
              </w:rPr>
            </w:pPr>
            <w:r>
              <w:rPr>
                <w:rFonts w:hint="eastAsia"/>
                <w:spacing w:val="3"/>
              </w:rPr>
              <w:t>一般家用即可</w:t>
            </w:r>
          </w:p>
        </w:tc>
        <w:tc>
          <w:tcPr>
            <w:tcW w:w="407" w:type="pct"/>
            <w:vAlign w:val="top"/>
          </w:tcPr>
          <w:p w14:paraId="04C058C1">
            <w:pPr>
              <w:pStyle w:val="11"/>
              <w:spacing w:before="167" w:line="189" w:lineRule="auto"/>
              <w:ind w:left="325"/>
              <w:jc w:val="both"/>
              <w:rPr>
                <w:rFonts w:hint="eastAsia" w:eastAsia="宋体"/>
                <w:lang w:val="en-US" w:eastAsia="zh-CN"/>
              </w:rPr>
            </w:pPr>
            <w:r>
              <w:rPr>
                <w:rFonts w:hint="eastAsia"/>
                <w:lang w:val="en-US" w:eastAsia="zh-CN"/>
              </w:rPr>
              <w:t>1</w:t>
            </w:r>
          </w:p>
        </w:tc>
        <w:tc>
          <w:tcPr>
            <w:tcW w:w="386" w:type="pct"/>
            <w:vAlign w:val="top"/>
          </w:tcPr>
          <w:p w14:paraId="6BF3E5B1">
            <w:pPr>
              <w:pStyle w:val="11"/>
              <w:spacing w:before="134" w:line="228" w:lineRule="auto"/>
              <w:ind w:left="220"/>
              <w:jc w:val="both"/>
              <w:rPr>
                <w:rFonts w:hint="eastAsia" w:eastAsia="宋体"/>
                <w:lang w:val="en-US" w:eastAsia="zh-CN"/>
              </w:rPr>
            </w:pPr>
            <w:r>
              <w:rPr>
                <w:rFonts w:hint="eastAsia"/>
                <w:lang w:val="en-US" w:eastAsia="zh-CN"/>
              </w:rPr>
              <w:t>台</w:t>
            </w:r>
          </w:p>
        </w:tc>
        <w:tc>
          <w:tcPr>
            <w:tcW w:w="659" w:type="pct"/>
            <w:vMerge w:val="continue"/>
            <w:vAlign w:val="top"/>
          </w:tcPr>
          <w:p w14:paraId="2E9DA683">
            <w:pPr>
              <w:pStyle w:val="11"/>
              <w:spacing w:before="134" w:line="228" w:lineRule="auto"/>
              <w:ind w:left="487"/>
              <w:jc w:val="center"/>
              <w:rPr>
                <w:spacing w:val="3"/>
              </w:rPr>
            </w:pPr>
          </w:p>
        </w:tc>
      </w:tr>
      <w:tr w14:paraId="5EB78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24BB7F82">
            <w:pPr>
              <w:pStyle w:val="11"/>
              <w:spacing w:before="167" w:line="189" w:lineRule="auto"/>
              <w:ind w:left="329"/>
              <w:jc w:val="both"/>
              <w:rPr>
                <w:rFonts w:hint="eastAsia" w:eastAsia="宋体"/>
                <w:lang w:val="en-US" w:eastAsia="zh-CN"/>
              </w:rPr>
            </w:pPr>
            <w:r>
              <w:rPr>
                <w:rFonts w:hint="eastAsia"/>
                <w:lang w:val="en-US" w:eastAsia="zh-CN"/>
              </w:rPr>
              <w:t>6</w:t>
            </w:r>
          </w:p>
        </w:tc>
        <w:tc>
          <w:tcPr>
            <w:tcW w:w="873" w:type="pct"/>
            <w:vAlign w:val="top"/>
          </w:tcPr>
          <w:p w14:paraId="5FF5B3AE">
            <w:pPr>
              <w:pStyle w:val="11"/>
              <w:spacing w:before="134" w:line="228" w:lineRule="auto"/>
              <w:jc w:val="center"/>
              <w:rPr>
                <w:spacing w:val="7"/>
              </w:rPr>
            </w:pPr>
            <w:r>
              <w:rPr>
                <w:rFonts w:hint="eastAsia"/>
                <w:spacing w:val="7"/>
              </w:rPr>
              <w:t>热水器</w:t>
            </w:r>
          </w:p>
        </w:tc>
        <w:tc>
          <w:tcPr>
            <w:tcW w:w="2303" w:type="pct"/>
            <w:vAlign w:val="top"/>
          </w:tcPr>
          <w:p w14:paraId="402B2A63">
            <w:pPr>
              <w:pStyle w:val="11"/>
              <w:spacing w:before="135" w:line="228" w:lineRule="auto"/>
              <w:ind w:left="279"/>
              <w:jc w:val="center"/>
              <w:rPr>
                <w:spacing w:val="7"/>
              </w:rPr>
            </w:pPr>
            <w:r>
              <w:rPr>
                <w:rFonts w:hint="eastAsia"/>
                <w:spacing w:val="3"/>
              </w:rPr>
              <w:t>一般家用即可</w:t>
            </w:r>
          </w:p>
        </w:tc>
        <w:tc>
          <w:tcPr>
            <w:tcW w:w="407" w:type="pct"/>
            <w:vAlign w:val="top"/>
          </w:tcPr>
          <w:p w14:paraId="0210DD8C">
            <w:pPr>
              <w:pStyle w:val="11"/>
              <w:spacing w:before="167" w:line="189" w:lineRule="auto"/>
              <w:ind w:left="325"/>
              <w:jc w:val="both"/>
              <w:rPr>
                <w:rFonts w:hint="eastAsia" w:eastAsia="宋体"/>
                <w:lang w:val="en-US" w:eastAsia="zh-CN"/>
              </w:rPr>
            </w:pPr>
            <w:r>
              <w:rPr>
                <w:rFonts w:hint="eastAsia"/>
                <w:lang w:val="en-US" w:eastAsia="zh-CN"/>
              </w:rPr>
              <w:t>1</w:t>
            </w:r>
          </w:p>
        </w:tc>
        <w:tc>
          <w:tcPr>
            <w:tcW w:w="386" w:type="pct"/>
            <w:vAlign w:val="top"/>
          </w:tcPr>
          <w:p w14:paraId="7E3CD37F">
            <w:pPr>
              <w:pStyle w:val="11"/>
              <w:spacing w:before="134" w:line="228" w:lineRule="auto"/>
              <w:ind w:left="220"/>
              <w:jc w:val="both"/>
              <w:rPr>
                <w:rFonts w:hint="eastAsia" w:eastAsia="宋体"/>
                <w:lang w:val="en-US" w:eastAsia="zh-CN"/>
              </w:rPr>
            </w:pPr>
            <w:r>
              <w:rPr>
                <w:rFonts w:hint="eastAsia"/>
                <w:lang w:val="en-US" w:eastAsia="zh-CN"/>
              </w:rPr>
              <w:t>台</w:t>
            </w:r>
          </w:p>
        </w:tc>
        <w:tc>
          <w:tcPr>
            <w:tcW w:w="659" w:type="pct"/>
            <w:vMerge w:val="continue"/>
            <w:vAlign w:val="top"/>
          </w:tcPr>
          <w:p w14:paraId="0B73F178">
            <w:pPr>
              <w:pStyle w:val="11"/>
              <w:spacing w:before="134" w:line="228" w:lineRule="auto"/>
              <w:ind w:left="487"/>
              <w:jc w:val="center"/>
              <w:rPr>
                <w:spacing w:val="3"/>
              </w:rPr>
            </w:pPr>
          </w:p>
        </w:tc>
      </w:tr>
      <w:tr w14:paraId="1D8DA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74EFA93D">
            <w:pPr>
              <w:pStyle w:val="11"/>
              <w:spacing w:before="167" w:line="189" w:lineRule="auto"/>
              <w:ind w:left="329"/>
              <w:jc w:val="both"/>
              <w:rPr>
                <w:rFonts w:hint="eastAsia" w:eastAsia="宋体"/>
                <w:lang w:val="en-US" w:eastAsia="zh-CN"/>
              </w:rPr>
            </w:pPr>
            <w:r>
              <w:rPr>
                <w:rFonts w:hint="eastAsia"/>
                <w:lang w:val="en-US" w:eastAsia="zh-CN"/>
              </w:rPr>
              <w:t>7</w:t>
            </w:r>
          </w:p>
        </w:tc>
        <w:tc>
          <w:tcPr>
            <w:tcW w:w="873" w:type="pct"/>
            <w:vAlign w:val="top"/>
          </w:tcPr>
          <w:p w14:paraId="6ACFA56D">
            <w:pPr>
              <w:pStyle w:val="11"/>
              <w:spacing w:before="134" w:line="228" w:lineRule="auto"/>
              <w:jc w:val="center"/>
              <w:rPr>
                <w:spacing w:val="7"/>
              </w:rPr>
            </w:pPr>
            <w:r>
              <w:rPr>
                <w:rFonts w:hint="eastAsia"/>
                <w:spacing w:val="7"/>
              </w:rPr>
              <w:t>衣柜</w:t>
            </w:r>
          </w:p>
        </w:tc>
        <w:tc>
          <w:tcPr>
            <w:tcW w:w="2303" w:type="pct"/>
            <w:vAlign w:val="top"/>
          </w:tcPr>
          <w:p w14:paraId="5D6507DC">
            <w:pPr>
              <w:pStyle w:val="11"/>
              <w:spacing w:before="135" w:line="228" w:lineRule="auto"/>
              <w:ind w:left="279"/>
              <w:jc w:val="center"/>
              <w:rPr>
                <w:spacing w:val="7"/>
              </w:rPr>
            </w:pPr>
            <w:r>
              <w:rPr>
                <w:rFonts w:hint="eastAsia"/>
                <w:lang w:val="en-US" w:eastAsia="zh-CN"/>
              </w:rPr>
              <w:t>适用于2人使用</w:t>
            </w:r>
          </w:p>
        </w:tc>
        <w:tc>
          <w:tcPr>
            <w:tcW w:w="407" w:type="pct"/>
            <w:vAlign w:val="top"/>
          </w:tcPr>
          <w:p w14:paraId="6778AD3D">
            <w:pPr>
              <w:pStyle w:val="11"/>
              <w:spacing w:before="167" w:line="189" w:lineRule="auto"/>
              <w:ind w:left="325"/>
              <w:jc w:val="both"/>
              <w:rPr>
                <w:rFonts w:hint="eastAsia" w:eastAsia="宋体"/>
                <w:lang w:val="en-US" w:eastAsia="zh-CN"/>
              </w:rPr>
            </w:pPr>
            <w:r>
              <w:rPr>
                <w:rFonts w:hint="eastAsia"/>
                <w:lang w:val="en-US" w:eastAsia="zh-CN"/>
              </w:rPr>
              <w:t>1</w:t>
            </w:r>
          </w:p>
        </w:tc>
        <w:tc>
          <w:tcPr>
            <w:tcW w:w="386" w:type="pct"/>
            <w:vAlign w:val="top"/>
          </w:tcPr>
          <w:p w14:paraId="533AAC2E">
            <w:pPr>
              <w:pStyle w:val="11"/>
              <w:spacing w:before="134" w:line="228" w:lineRule="auto"/>
              <w:ind w:left="220"/>
              <w:jc w:val="both"/>
              <w:rPr>
                <w:rFonts w:hint="eastAsia" w:eastAsia="宋体"/>
                <w:lang w:val="en-US" w:eastAsia="zh-CN"/>
              </w:rPr>
            </w:pPr>
            <w:r>
              <w:rPr>
                <w:rFonts w:hint="eastAsia"/>
                <w:lang w:val="en-US" w:eastAsia="zh-CN"/>
              </w:rPr>
              <w:t>个</w:t>
            </w:r>
          </w:p>
        </w:tc>
        <w:tc>
          <w:tcPr>
            <w:tcW w:w="659" w:type="pct"/>
            <w:vMerge w:val="continue"/>
            <w:vAlign w:val="top"/>
          </w:tcPr>
          <w:p w14:paraId="62CB9521">
            <w:pPr>
              <w:pStyle w:val="11"/>
              <w:spacing w:before="134" w:line="228" w:lineRule="auto"/>
              <w:ind w:left="487"/>
              <w:jc w:val="center"/>
              <w:rPr>
                <w:spacing w:val="3"/>
              </w:rPr>
            </w:pPr>
          </w:p>
        </w:tc>
      </w:tr>
      <w:tr w14:paraId="7C53F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43EF8724">
            <w:pPr>
              <w:pStyle w:val="11"/>
              <w:spacing w:before="167" w:line="189" w:lineRule="auto"/>
              <w:ind w:left="329"/>
              <w:jc w:val="both"/>
              <w:rPr>
                <w:rFonts w:hint="eastAsia" w:eastAsia="宋体"/>
                <w:lang w:val="en-US" w:eastAsia="zh-CN"/>
              </w:rPr>
            </w:pPr>
            <w:r>
              <w:rPr>
                <w:rFonts w:hint="eastAsia"/>
                <w:lang w:val="en-US" w:eastAsia="zh-CN"/>
              </w:rPr>
              <w:t>8</w:t>
            </w:r>
          </w:p>
        </w:tc>
        <w:tc>
          <w:tcPr>
            <w:tcW w:w="873" w:type="pct"/>
            <w:vAlign w:val="top"/>
          </w:tcPr>
          <w:p w14:paraId="31FE0A50">
            <w:pPr>
              <w:pStyle w:val="11"/>
              <w:spacing w:before="134" w:line="228" w:lineRule="auto"/>
              <w:jc w:val="center"/>
              <w:rPr>
                <w:rFonts w:hint="eastAsia" w:eastAsia="宋体"/>
                <w:spacing w:val="7"/>
                <w:lang w:val="en-US" w:eastAsia="zh-CN"/>
              </w:rPr>
            </w:pPr>
            <w:r>
              <w:rPr>
                <w:rFonts w:hint="eastAsia"/>
                <w:spacing w:val="7"/>
              </w:rPr>
              <w:t>桌</w:t>
            </w:r>
            <w:r>
              <w:rPr>
                <w:rFonts w:hint="eastAsia"/>
                <w:spacing w:val="7"/>
                <w:lang w:val="en-US" w:eastAsia="zh-CN"/>
              </w:rPr>
              <w:t>子</w:t>
            </w:r>
          </w:p>
        </w:tc>
        <w:tc>
          <w:tcPr>
            <w:tcW w:w="2303" w:type="pct"/>
            <w:vAlign w:val="top"/>
          </w:tcPr>
          <w:p w14:paraId="1C538573">
            <w:pPr>
              <w:pStyle w:val="11"/>
              <w:spacing w:before="135" w:line="228" w:lineRule="auto"/>
              <w:ind w:left="279"/>
              <w:jc w:val="center"/>
              <w:rPr>
                <w:spacing w:val="7"/>
              </w:rPr>
            </w:pPr>
            <w:r>
              <w:rPr>
                <w:rFonts w:hint="eastAsia"/>
                <w:lang w:val="en-US" w:eastAsia="zh-CN"/>
              </w:rPr>
              <w:t>适用于2人使用</w:t>
            </w:r>
          </w:p>
        </w:tc>
        <w:tc>
          <w:tcPr>
            <w:tcW w:w="407" w:type="pct"/>
            <w:vAlign w:val="top"/>
          </w:tcPr>
          <w:p w14:paraId="274B7BD1">
            <w:pPr>
              <w:pStyle w:val="11"/>
              <w:spacing w:before="167" w:line="189" w:lineRule="auto"/>
              <w:ind w:left="325"/>
              <w:jc w:val="both"/>
              <w:rPr>
                <w:rFonts w:hint="eastAsia" w:eastAsia="宋体"/>
                <w:lang w:val="en-US" w:eastAsia="zh-CN"/>
              </w:rPr>
            </w:pPr>
            <w:r>
              <w:rPr>
                <w:rFonts w:hint="eastAsia"/>
                <w:lang w:val="en-US" w:eastAsia="zh-CN"/>
              </w:rPr>
              <w:t>1</w:t>
            </w:r>
          </w:p>
        </w:tc>
        <w:tc>
          <w:tcPr>
            <w:tcW w:w="386" w:type="pct"/>
            <w:vAlign w:val="top"/>
          </w:tcPr>
          <w:p w14:paraId="18F44B58">
            <w:pPr>
              <w:pStyle w:val="11"/>
              <w:spacing w:before="134" w:line="228" w:lineRule="auto"/>
              <w:ind w:left="220"/>
              <w:jc w:val="both"/>
              <w:rPr>
                <w:rFonts w:hint="eastAsia" w:eastAsia="宋体"/>
                <w:lang w:val="en-US" w:eastAsia="zh-CN"/>
              </w:rPr>
            </w:pPr>
            <w:r>
              <w:rPr>
                <w:rFonts w:hint="eastAsia"/>
                <w:lang w:val="en-US" w:eastAsia="zh-CN"/>
              </w:rPr>
              <w:t>长</w:t>
            </w:r>
          </w:p>
        </w:tc>
        <w:tc>
          <w:tcPr>
            <w:tcW w:w="659" w:type="pct"/>
            <w:vMerge w:val="continue"/>
            <w:vAlign w:val="top"/>
          </w:tcPr>
          <w:p w14:paraId="1FFCA9A8">
            <w:pPr>
              <w:pStyle w:val="11"/>
              <w:spacing w:before="134" w:line="228" w:lineRule="auto"/>
              <w:ind w:left="487"/>
              <w:jc w:val="center"/>
              <w:rPr>
                <w:spacing w:val="3"/>
              </w:rPr>
            </w:pPr>
          </w:p>
        </w:tc>
      </w:tr>
      <w:tr w14:paraId="7808B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0807EA74">
            <w:pPr>
              <w:pStyle w:val="11"/>
              <w:spacing w:before="167" w:line="189" w:lineRule="auto"/>
              <w:ind w:left="329"/>
              <w:jc w:val="both"/>
              <w:rPr>
                <w:rFonts w:hint="default" w:eastAsia="宋体"/>
                <w:lang w:val="en-US" w:eastAsia="zh-CN"/>
              </w:rPr>
            </w:pPr>
            <w:r>
              <w:rPr>
                <w:rFonts w:hint="eastAsia"/>
                <w:lang w:val="en-US" w:eastAsia="zh-CN"/>
              </w:rPr>
              <w:t>9</w:t>
            </w:r>
          </w:p>
        </w:tc>
        <w:tc>
          <w:tcPr>
            <w:tcW w:w="873" w:type="pct"/>
            <w:vAlign w:val="top"/>
          </w:tcPr>
          <w:p w14:paraId="020D262E">
            <w:pPr>
              <w:pStyle w:val="11"/>
              <w:spacing w:before="134" w:line="228" w:lineRule="auto"/>
              <w:jc w:val="center"/>
              <w:rPr>
                <w:rFonts w:hint="eastAsia"/>
                <w:spacing w:val="7"/>
              </w:rPr>
            </w:pPr>
            <w:r>
              <w:rPr>
                <w:rFonts w:hint="eastAsia"/>
                <w:spacing w:val="7"/>
              </w:rPr>
              <w:t>椅子</w:t>
            </w:r>
          </w:p>
        </w:tc>
        <w:tc>
          <w:tcPr>
            <w:tcW w:w="2303" w:type="pct"/>
            <w:vAlign w:val="top"/>
          </w:tcPr>
          <w:p w14:paraId="350F7AED">
            <w:pPr>
              <w:pStyle w:val="11"/>
              <w:spacing w:before="135" w:line="228" w:lineRule="auto"/>
              <w:ind w:left="279"/>
              <w:jc w:val="center"/>
              <w:rPr>
                <w:spacing w:val="7"/>
              </w:rPr>
            </w:pPr>
            <w:r>
              <w:rPr>
                <w:rFonts w:hint="eastAsia"/>
                <w:lang w:val="en-US" w:eastAsia="zh-CN"/>
              </w:rPr>
              <w:t>适用于2人使用</w:t>
            </w:r>
          </w:p>
        </w:tc>
        <w:tc>
          <w:tcPr>
            <w:tcW w:w="407" w:type="pct"/>
            <w:vAlign w:val="top"/>
          </w:tcPr>
          <w:p w14:paraId="27C050EB">
            <w:pPr>
              <w:pStyle w:val="11"/>
              <w:spacing w:before="167" w:line="189" w:lineRule="auto"/>
              <w:ind w:left="325"/>
              <w:jc w:val="both"/>
              <w:rPr>
                <w:rFonts w:hint="eastAsia" w:eastAsia="宋体"/>
                <w:lang w:val="en-US" w:eastAsia="zh-CN"/>
              </w:rPr>
            </w:pPr>
            <w:r>
              <w:rPr>
                <w:rFonts w:hint="eastAsia"/>
                <w:lang w:val="en-US" w:eastAsia="zh-CN"/>
              </w:rPr>
              <w:t>2</w:t>
            </w:r>
          </w:p>
        </w:tc>
        <w:tc>
          <w:tcPr>
            <w:tcW w:w="386" w:type="pct"/>
            <w:vAlign w:val="top"/>
          </w:tcPr>
          <w:p w14:paraId="2C210E5E">
            <w:pPr>
              <w:pStyle w:val="11"/>
              <w:spacing w:before="134" w:line="228" w:lineRule="auto"/>
              <w:ind w:left="220"/>
              <w:jc w:val="both"/>
              <w:rPr>
                <w:rFonts w:hint="eastAsia" w:eastAsia="宋体"/>
                <w:lang w:val="en-US" w:eastAsia="zh-CN"/>
              </w:rPr>
            </w:pPr>
            <w:r>
              <w:rPr>
                <w:rFonts w:hint="eastAsia"/>
                <w:lang w:val="en-US" w:eastAsia="zh-CN"/>
              </w:rPr>
              <w:t>张</w:t>
            </w:r>
          </w:p>
        </w:tc>
        <w:tc>
          <w:tcPr>
            <w:tcW w:w="659" w:type="pct"/>
            <w:vMerge w:val="continue"/>
            <w:vAlign w:val="top"/>
          </w:tcPr>
          <w:p w14:paraId="21C7229F">
            <w:pPr>
              <w:pStyle w:val="11"/>
              <w:spacing w:before="134" w:line="228" w:lineRule="auto"/>
              <w:ind w:left="487"/>
              <w:jc w:val="center"/>
              <w:rPr>
                <w:spacing w:val="3"/>
              </w:rPr>
            </w:pPr>
          </w:p>
        </w:tc>
      </w:tr>
      <w:tr w14:paraId="34EB9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369" w:type="pct"/>
            <w:vAlign w:val="top"/>
          </w:tcPr>
          <w:p w14:paraId="4BAEF0FD">
            <w:pPr>
              <w:pStyle w:val="11"/>
              <w:spacing w:before="167" w:line="189" w:lineRule="auto"/>
              <w:ind w:left="329"/>
              <w:jc w:val="both"/>
              <w:rPr>
                <w:rFonts w:hint="default" w:eastAsia="宋体"/>
                <w:lang w:val="en-US" w:eastAsia="zh-CN"/>
              </w:rPr>
            </w:pPr>
            <w:r>
              <w:rPr>
                <w:rFonts w:hint="eastAsia"/>
                <w:lang w:val="en-US" w:eastAsia="zh-CN"/>
              </w:rPr>
              <w:t>10</w:t>
            </w:r>
          </w:p>
        </w:tc>
        <w:tc>
          <w:tcPr>
            <w:tcW w:w="873" w:type="pct"/>
            <w:vAlign w:val="top"/>
          </w:tcPr>
          <w:p w14:paraId="6BA07310">
            <w:pPr>
              <w:pStyle w:val="11"/>
              <w:spacing w:before="134" w:line="228" w:lineRule="auto"/>
              <w:jc w:val="center"/>
              <w:rPr>
                <w:rFonts w:hint="eastAsia"/>
                <w:spacing w:val="7"/>
              </w:rPr>
            </w:pPr>
            <w:bookmarkStart w:id="0" w:name="_GoBack"/>
            <w:bookmarkEnd w:id="0"/>
            <w:r>
              <w:rPr>
                <w:rFonts w:hint="eastAsia"/>
                <w:spacing w:val="7"/>
              </w:rPr>
              <w:t>储物柜</w:t>
            </w:r>
          </w:p>
        </w:tc>
        <w:tc>
          <w:tcPr>
            <w:tcW w:w="2303" w:type="pct"/>
            <w:vAlign w:val="top"/>
          </w:tcPr>
          <w:p w14:paraId="0B98E64E">
            <w:pPr>
              <w:pStyle w:val="11"/>
              <w:spacing w:before="135" w:line="228" w:lineRule="auto"/>
              <w:ind w:left="279"/>
              <w:jc w:val="center"/>
              <w:rPr>
                <w:spacing w:val="7"/>
              </w:rPr>
            </w:pPr>
            <w:r>
              <w:rPr>
                <w:rFonts w:hint="eastAsia"/>
                <w:lang w:val="en-US" w:eastAsia="zh-CN"/>
              </w:rPr>
              <w:t>适用于2人使用</w:t>
            </w:r>
          </w:p>
        </w:tc>
        <w:tc>
          <w:tcPr>
            <w:tcW w:w="407" w:type="pct"/>
            <w:vAlign w:val="top"/>
          </w:tcPr>
          <w:p w14:paraId="0D5D7629">
            <w:pPr>
              <w:pStyle w:val="11"/>
              <w:spacing w:before="167" w:line="189" w:lineRule="auto"/>
              <w:ind w:left="325"/>
              <w:jc w:val="both"/>
              <w:rPr>
                <w:rFonts w:hint="eastAsia" w:eastAsia="宋体"/>
                <w:lang w:val="en-US" w:eastAsia="zh-CN"/>
              </w:rPr>
            </w:pPr>
            <w:r>
              <w:rPr>
                <w:rFonts w:hint="eastAsia"/>
                <w:lang w:val="en-US" w:eastAsia="zh-CN"/>
              </w:rPr>
              <w:t>1</w:t>
            </w:r>
          </w:p>
        </w:tc>
        <w:tc>
          <w:tcPr>
            <w:tcW w:w="386" w:type="pct"/>
            <w:vAlign w:val="top"/>
          </w:tcPr>
          <w:p w14:paraId="6AB8C671">
            <w:pPr>
              <w:pStyle w:val="11"/>
              <w:spacing w:before="134" w:line="228" w:lineRule="auto"/>
              <w:ind w:left="220"/>
              <w:jc w:val="both"/>
              <w:rPr>
                <w:rFonts w:hint="default" w:eastAsia="宋体"/>
                <w:lang w:val="en-US" w:eastAsia="zh-CN"/>
              </w:rPr>
            </w:pPr>
            <w:r>
              <w:rPr>
                <w:rFonts w:hint="eastAsia"/>
                <w:lang w:val="en-US" w:eastAsia="zh-CN"/>
              </w:rPr>
              <w:t>个</w:t>
            </w:r>
          </w:p>
        </w:tc>
        <w:tc>
          <w:tcPr>
            <w:tcW w:w="659" w:type="pct"/>
            <w:vMerge w:val="continue"/>
            <w:vAlign w:val="top"/>
          </w:tcPr>
          <w:p w14:paraId="193A004F">
            <w:pPr>
              <w:pStyle w:val="11"/>
              <w:spacing w:before="134" w:line="228" w:lineRule="auto"/>
              <w:ind w:left="487"/>
              <w:jc w:val="center"/>
              <w:rPr>
                <w:spacing w:val="3"/>
              </w:rPr>
            </w:pPr>
          </w:p>
        </w:tc>
      </w:tr>
    </w:tbl>
    <w:p w14:paraId="35E46785">
      <w:pPr>
        <w:numPr>
          <w:ilvl w:val="0"/>
          <w:numId w:val="0"/>
        </w:numPr>
        <w:tabs>
          <w:tab w:val="left" w:pos="540"/>
        </w:tabs>
        <w:autoSpaceDE/>
        <w:autoSpaceDN/>
        <w:snapToGrid w:val="0"/>
        <w:spacing w:line="360" w:lineRule="auto"/>
        <w:ind w:firstLine="640" w:firstLineChars="200"/>
        <w:jc w:val="both"/>
        <w:rPr>
          <w:rFonts w:hint="default" w:ascii="黑体" w:hAnsi="黑体" w:eastAsia="黑体" w:cs="黑体"/>
          <w:b w:val="0"/>
          <w:bCs/>
          <w:color w:val="auto"/>
          <w:sz w:val="32"/>
          <w:szCs w:val="32"/>
          <w:highlight w:val="none"/>
          <w:lang w:val="en-US" w:eastAsia="zh-CN"/>
        </w:rPr>
      </w:pPr>
    </w:p>
    <w:p w14:paraId="100EA29C">
      <w:pPr>
        <w:numPr>
          <w:ilvl w:val="0"/>
          <w:numId w:val="0"/>
        </w:numPr>
        <w:tabs>
          <w:tab w:val="left" w:pos="540"/>
        </w:tabs>
        <w:autoSpaceDE/>
        <w:autoSpaceDN/>
        <w:snapToGrid w:val="0"/>
        <w:spacing w:line="360" w:lineRule="auto"/>
        <w:ind w:firstLine="640" w:firstLineChars="200"/>
        <w:jc w:val="both"/>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lang w:val="en-US" w:eastAsia="zh-CN"/>
        </w:rPr>
        <w:t>三、公寓</w:t>
      </w:r>
      <w:r>
        <w:rPr>
          <w:rFonts w:hint="eastAsia" w:ascii="黑体" w:hAnsi="黑体" w:eastAsia="黑体" w:cs="黑体"/>
          <w:b w:val="0"/>
          <w:bCs/>
          <w:color w:val="auto"/>
          <w:sz w:val="32"/>
          <w:szCs w:val="32"/>
          <w:highlight w:val="none"/>
        </w:rPr>
        <w:t>采购主要要求</w:t>
      </w:r>
    </w:p>
    <w:p w14:paraId="4135DA37">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1.报名人资质：其它详见公告；主要</w:t>
      </w:r>
      <w:r>
        <w:rPr>
          <w:rFonts w:hint="eastAsia" w:ascii="仿宋_GB2312" w:hAnsi="仿宋_GB2312" w:eastAsia="仿宋_GB2312" w:cs="仿宋_GB2312"/>
          <w:b w:val="0"/>
          <w:bCs/>
          <w:color w:val="auto"/>
          <w:sz w:val="32"/>
          <w:szCs w:val="32"/>
          <w:highlight w:val="none"/>
        </w:rPr>
        <w:t>经营、运营长租公寓等项目，近两年无发生重大安全事故</w:t>
      </w:r>
      <w:r>
        <w:rPr>
          <w:rFonts w:hint="eastAsia" w:ascii="仿宋_GB2312" w:hAnsi="仿宋_GB2312" w:eastAsia="仿宋_GB2312" w:cs="仿宋_GB2312"/>
          <w:b/>
          <w:bCs w:val="0"/>
          <w:color w:val="auto"/>
          <w:sz w:val="32"/>
          <w:szCs w:val="32"/>
          <w:highlight w:val="none"/>
        </w:rPr>
        <w:t>（</w:t>
      </w:r>
      <w:r>
        <w:rPr>
          <w:rFonts w:hint="eastAsia" w:ascii="仿宋_GB2312" w:hAnsi="仿宋_GB2312" w:eastAsia="仿宋_GB2312" w:cs="仿宋_GB2312"/>
          <w:b/>
          <w:bCs w:val="0"/>
          <w:color w:val="auto"/>
          <w:sz w:val="32"/>
          <w:szCs w:val="32"/>
          <w:highlight w:val="none"/>
          <w:lang w:val="en-US" w:eastAsia="zh-CN"/>
        </w:rPr>
        <w:t>提供</w:t>
      </w:r>
      <w:r>
        <w:rPr>
          <w:rFonts w:hint="eastAsia" w:ascii="仿宋_GB2312" w:hAnsi="仿宋_GB2312" w:eastAsia="仿宋_GB2312" w:cs="仿宋_GB2312"/>
          <w:b/>
          <w:bCs w:val="0"/>
          <w:color w:val="auto"/>
          <w:sz w:val="32"/>
          <w:szCs w:val="32"/>
          <w:highlight w:val="none"/>
        </w:rPr>
        <w:t>书面承诺</w:t>
      </w:r>
      <w:r>
        <w:rPr>
          <w:rFonts w:hint="eastAsia" w:ascii="仿宋_GB2312" w:hAnsi="仿宋_GB2312" w:eastAsia="仿宋_GB2312" w:cs="仿宋_GB2312"/>
          <w:b/>
          <w:bCs w:val="0"/>
          <w:color w:val="auto"/>
          <w:sz w:val="32"/>
          <w:szCs w:val="32"/>
          <w:highlight w:val="none"/>
          <w:lang w:eastAsia="zh-CN"/>
        </w:rPr>
        <w:t>，</w:t>
      </w:r>
      <w:r>
        <w:rPr>
          <w:rFonts w:hint="eastAsia" w:ascii="仿宋_GB2312" w:hAnsi="仿宋_GB2312" w:eastAsia="仿宋_GB2312" w:cs="仿宋_GB2312"/>
          <w:b/>
          <w:bCs w:val="0"/>
          <w:color w:val="auto"/>
          <w:sz w:val="32"/>
          <w:szCs w:val="32"/>
          <w:highlight w:val="none"/>
          <w:lang w:val="en-US" w:eastAsia="zh-CN"/>
        </w:rPr>
        <w:t>格式自拟</w:t>
      </w:r>
      <w:r>
        <w:rPr>
          <w:rFonts w:hint="eastAsia" w:ascii="仿宋_GB2312" w:hAnsi="仿宋_GB2312" w:eastAsia="仿宋_GB2312" w:cs="仿宋_GB2312"/>
          <w:b/>
          <w:bCs w:val="0"/>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w:t>
      </w:r>
    </w:p>
    <w:p w14:paraId="47257214">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★用房交接时间：按合同签订时约定时间交房，</w:t>
      </w:r>
      <w:r>
        <w:rPr>
          <w:rFonts w:hint="eastAsia" w:ascii="仿宋_GB2312" w:hAnsi="仿宋_GB2312" w:eastAsia="仿宋_GB2312" w:cs="仿宋_GB2312"/>
          <w:color w:val="auto"/>
          <w:sz w:val="32"/>
          <w:szCs w:val="32"/>
          <w:highlight w:val="none"/>
          <w:lang w:val="en-US" w:eastAsia="zh-CN"/>
        </w:rPr>
        <w:t>分批次</w:t>
      </w:r>
      <w:r>
        <w:rPr>
          <w:rFonts w:hint="default" w:ascii="仿宋_GB2312" w:hAnsi="仿宋_GB2312" w:eastAsia="仿宋_GB2312" w:cs="仿宋_GB2312"/>
          <w:color w:val="auto"/>
          <w:sz w:val="32"/>
          <w:szCs w:val="32"/>
          <w:highlight w:val="none"/>
          <w:lang w:val="en-US" w:eastAsia="zh-CN"/>
        </w:rPr>
        <w:t>按</w:t>
      </w:r>
      <w:r>
        <w:rPr>
          <w:rFonts w:hint="eastAsia" w:ascii="仿宋_GB2312" w:hAnsi="仿宋_GB2312" w:eastAsia="仿宋_GB2312" w:cs="仿宋_GB2312"/>
          <w:color w:val="auto"/>
          <w:sz w:val="32"/>
          <w:szCs w:val="32"/>
          <w:highlight w:val="none"/>
          <w:lang w:val="en-US" w:eastAsia="zh-CN"/>
        </w:rPr>
        <w:t>实际入住</w:t>
      </w:r>
      <w:r>
        <w:rPr>
          <w:rFonts w:hint="default" w:ascii="仿宋_GB2312" w:hAnsi="仿宋_GB2312" w:eastAsia="仿宋_GB2312" w:cs="仿宋_GB2312"/>
          <w:color w:val="auto"/>
          <w:sz w:val="32"/>
          <w:szCs w:val="32"/>
          <w:highlight w:val="none"/>
          <w:lang w:val="en-US" w:eastAsia="zh-CN"/>
        </w:rPr>
        <w:t>时间开始计算房租</w:t>
      </w:r>
      <w:r>
        <w:rPr>
          <w:rFonts w:hint="eastAsia" w:ascii="仿宋_GB2312" w:hAnsi="仿宋_GB2312" w:eastAsia="仿宋_GB2312" w:cs="仿宋_GB2312"/>
          <w:color w:val="auto"/>
          <w:sz w:val="32"/>
          <w:szCs w:val="32"/>
          <w:highlight w:val="none"/>
          <w:lang w:val="en-US" w:eastAsia="zh-CN"/>
        </w:rPr>
        <w:t>。</w:t>
      </w:r>
    </w:p>
    <w:p w14:paraId="21D90872">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3</w:t>
      </w:r>
      <w:r>
        <w:rPr>
          <w:rFonts w:hint="eastAsia" w:ascii="仿宋_GB2312" w:hAnsi="仿宋_GB2312" w:eastAsia="仿宋_GB2312" w:cs="仿宋_GB2312"/>
          <w:b w:val="0"/>
          <w:bCs/>
          <w:color w:val="auto"/>
          <w:sz w:val="32"/>
          <w:szCs w:val="32"/>
          <w:highlight w:val="none"/>
        </w:rPr>
        <w:t>.租赁期限：</w:t>
      </w:r>
      <w:r>
        <w:rPr>
          <w:rFonts w:hint="eastAsia" w:ascii="仿宋_GB2312" w:hAnsi="仿宋_GB2312" w:eastAsia="仿宋_GB2312" w:cs="仿宋_GB2312"/>
          <w:b w:val="0"/>
          <w:bCs/>
          <w:color w:val="auto"/>
          <w:sz w:val="32"/>
          <w:szCs w:val="32"/>
          <w:highlight w:val="none"/>
          <w:lang w:val="en-US" w:eastAsia="zh-CN"/>
        </w:rPr>
        <w:t>合同一年一签，服务期最长不超过</w:t>
      </w:r>
      <w:r>
        <w:rPr>
          <w:rFonts w:hint="eastAsia" w:ascii="仿宋_GB2312" w:hAnsi="仿宋_GB2312" w:eastAsia="仿宋_GB2312" w:cs="仿宋_GB2312"/>
          <w:b w:val="0"/>
          <w:bCs/>
          <w:color w:val="auto"/>
          <w:sz w:val="32"/>
          <w:szCs w:val="32"/>
          <w:highlight w:val="none"/>
        </w:rPr>
        <w:t>3</w:t>
      </w:r>
      <w:r>
        <w:rPr>
          <w:rFonts w:hint="eastAsia" w:ascii="仿宋_GB2312" w:hAnsi="仿宋_GB2312" w:eastAsia="仿宋_GB2312" w:cs="仿宋_GB2312"/>
          <w:b w:val="0"/>
          <w:bCs/>
          <w:color w:val="auto"/>
          <w:sz w:val="32"/>
          <w:szCs w:val="32"/>
          <w:highlight w:val="none"/>
          <w:lang w:val="en-US" w:eastAsia="zh-CN"/>
        </w:rPr>
        <w:t>6个月</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bCs w:val="0"/>
          <w:color w:val="auto"/>
          <w:sz w:val="32"/>
          <w:szCs w:val="32"/>
          <w:highlight w:val="none"/>
          <w:lang w:val="en-US" w:eastAsia="zh-CN"/>
        </w:rPr>
        <w:t>报名人</w:t>
      </w:r>
      <w:r>
        <w:rPr>
          <w:rFonts w:hint="eastAsia" w:ascii="仿宋_GB2312" w:hAnsi="仿宋_GB2312" w:eastAsia="仿宋_GB2312" w:cs="仿宋_GB2312"/>
          <w:b/>
          <w:bCs w:val="0"/>
          <w:color w:val="auto"/>
          <w:sz w:val="32"/>
          <w:szCs w:val="32"/>
          <w:highlight w:val="none"/>
        </w:rPr>
        <w:t>需提供项目有效的产权或与项目有权人签订的有效期能覆盖对应标段承租期限</w:t>
      </w:r>
      <w:r>
        <w:rPr>
          <w:rFonts w:hint="eastAsia" w:ascii="仿宋_GB2312" w:hAnsi="仿宋_GB2312" w:eastAsia="仿宋_GB2312" w:cs="仿宋_GB2312"/>
          <w:b/>
          <w:bCs w:val="0"/>
          <w:color w:val="auto"/>
          <w:sz w:val="32"/>
          <w:szCs w:val="32"/>
          <w:highlight w:val="none"/>
          <w:lang w:eastAsia="zh-CN"/>
        </w:rPr>
        <w:t>（</w:t>
      </w:r>
      <w:r>
        <w:rPr>
          <w:rFonts w:hint="eastAsia" w:ascii="仿宋_GB2312" w:hAnsi="仿宋_GB2312" w:eastAsia="仿宋_GB2312" w:cs="仿宋_GB2312"/>
          <w:b/>
          <w:bCs w:val="0"/>
          <w:color w:val="auto"/>
          <w:sz w:val="32"/>
          <w:szCs w:val="32"/>
          <w:highlight w:val="none"/>
          <w:lang w:val="en-US" w:eastAsia="zh-CN"/>
        </w:rPr>
        <w:t>即三年</w:t>
      </w:r>
      <w:r>
        <w:rPr>
          <w:rFonts w:hint="eastAsia" w:ascii="仿宋_GB2312" w:hAnsi="仿宋_GB2312" w:eastAsia="仿宋_GB2312" w:cs="仿宋_GB2312"/>
          <w:b/>
          <w:bCs w:val="0"/>
          <w:color w:val="auto"/>
          <w:sz w:val="32"/>
          <w:szCs w:val="32"/>
          <w:highlight w:val="none"/>
          <w:lang w:eastAsia="zh-CN"/>
        </w:rPr>
        <w:t>）</w:t>
      </w:r>
      <w:r>
        <w:rPr>
          <w:rFonts w:hint="eastAsia" w:ascii="仿宋_GB2312" w:hAnsi="仿宋_GB2312" w:eastAsia="仿宋_GB2312" w:cs="仿宋_GB2312"/>
          <w:b/>
          <w:bCs w:val="0"/>
          <w:color w:val="auto"/>
          <w:sz w:val="32"/>
          <w:szCs w:val="32"/>
          <w:highlight w:val="none"/>
        </w:rPr>
        <w:t>的租赁合同。提供项目通过消防验收凭证。</w:t>
      </w:r>
    </w:p>
    <w:p w14:paraId="1E9E468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4.</w:t>
      </w:r>
      <w:r>
        <w:rPr>
          <w:rFonts w:hint="eastAsia" w:ascii="仿宋_GB2312" w:hAnsi="仿宋_GB2312" w:eastAsia="仿宋_GB2312" w:cs="仿宋_GB2312"/>
          <w:b w:val="0"/>
          <w:bCs/>
          <w:color w:val="auto"/>
          <w:sz w:val="32"/>
          <w:szCs w:val="32"/>
          <w:highlight w:val="none"/>
        </w:rPr>
        <w:t>管家服务：有专人管家，公共区域的清洁服务。</w:t>
      </w:r>
    </w:p>
    <w:p w14:paraId="0ED3293B">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5.★供应商</w:t>
      </w:r>
      <w:r>
        <w:rPr>
          <w:rFonts w:hint="eastAsia" w:ascii="仿宋_GB2312" w:hAnsi="仿宋_GB2312" w:eastAsia="仿宋_GB2312" w:cs="仿宋_GB2312"/>
          <w:b w:val="0"/>
          <w:bCs/>
          <w:color w:val="auto"/>
          <w:sz w:val="32"/>
          <w:szCs w:val="32"/>
          <w:highlight w:val="none"/>
        </w:rPr>
        <w:t>具有完善的住客管理及服务系统，可提供7*24小时住宿管理及必要的水电应急维修服务。</w:t>
      </w:r>
      <w:r>
        <w:rPr>
          <w:rFonts w:hint="eastAsia" w:ascii="仿宋_GB2312" w:hAnsi="仿宋_GB2312" w:eastAsia="仿宋_GB2312" w:cs="仿宋_GB2312"/>
          <w:b w:val="0"/>
          <w:bCs/>
          <w:color w:val="auto"/>
          <w:sz w:val="32"/>
          <w:szCs w:val="32"/>
          <w:highlight w:val="none"/>
          <w:lang w:val="en-US" w:eastAsia="zh-CN"/>
        </w:rPr>
        <w:t>负责配套的所有设施的日常维修保养工作，保证设施</w:t>
      </w:r>
      <w:r>
        <w:rPr>
          <w:rFonts w:hint="default" w:ascii="仿宋_GB2312" w:hAnsi="仿宋_GB2312" w:eastAsia="仿宋_GB2312" w:cs="仿宋_GB2312"/>
          <w:b w:val="0"/>
          <w:bCs/>
          <w:color w:val="auto"/>
          <w:sz w:val="32"/>
          <w:szCs w:val="32"/>
          <w:highlight w:val="none"/>
          <w:lang w:val="en-US" w:eastAsia="zh-CN"/>
        </w:rPr>
        <w:t>安全运行，如设施包括不限于家电、家具等发生故障，因采购人人为因素损坏的，由采购人负责维修，因装修或产品质量问题等非采购人人为造成损坏的，由成交供应商负责，无维修价值时，成交供应商必须在</w:t>
      </w:r>
      <w:r>
        <w:rPr>
          <w:rFonts w:hint="eastAsia" w:ascii="仿宋_GB2312" w:hAnsi="仿宋_GB2312" w:eastAsia="仿宋_GB2312" w:cs="仿宋_GB2312"/>
          <w:b w:val="0"/>
          <w:bCs/>
          <w:color w:val="auto"/>
          <w:sz w:val="32"/>
          <w:szCs w:val="32"/>
          <w:highlight w:val="none"/>
          <w:lang w:val="en-US" w:eastAsia="zh-CN"/>
        </w:rPr>
        <w:t>3</w:t>
      </w:r>
      <w:r>
        <w:rPr>
          <w:rFonts w:hint="default" w:ascii="仿宋_GB2312" w:hAnsi="仿宋_GB2312" w:eastAsia="仿宋_GB2312" w:cs="仿宋_GB2312"/>
          <w:b w:val="0"/>
          <w:bCs/>
          <w:color w:val="auto"/>
          <w:sz w:val="32"/>
          <w:szCs w:val="32"/>
          <w:highlight w:val="none"/>
          <w:lang w:val="en-US" w:eastAsia="zh-CN"/>
        </w:rPr>
        <w:t>天内完成更换，此费用包含在响应报价内（提供承诺函）。</w:t>
      </w:r>
    </w:p>
    <w:p w14:paraId="4A7A6DD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6.</w:t>
      </w:r>
      <w:r>
        <w:rPr>
          <w:rFonts w:hint="default" w:ascii="仿宋_GB2312" w:hAnsi="仿宋_GB2312" w:eastAsia="仿宋_GB2312" w:cs="仿宋_GB2312"/>
          <w:b w:val="0"/>
          <w:bCs/>
          <w:color w:val="auto"/>
          <w:sz w:val="32"/>
          <w:szCs w:val="32"/>
          <w:highlight w:val="none"/>
          <w:lang w:val="en-US" w:eastAsia="zh-CN"/>
        </w:rPr>
        <w:t>★成交供应商必须保证合同期内场地稳定性，如因产权、经营管理权、成交供应商的其他问题，造成不能履行合同，租赁期中断，成交供应商应赔偿采购人</w:t>
      </w:r>
      <w:r>
        <w:rPr>
          <w:rFonts w:hint="eastAsia" w:ascii="仿宋_GB2312" w:hAnsi="仿宋_GB2312" w:eastAsia="仿宋_GB2312" w:cs="仿宋_GB2312"/>
          <w:b w:val="0"/>
          <w:bCs/>
          <w:color w:val="auto"/>
          <w:sz w:val="32"/>
          <w:szCs w:val="32"/>
          <w:highlight w:val="none"/>
          <w:lang w:val="en-US" w:eastAsia="zh-CN"/>
        </w:rPr>
        <w:t>6</w:t>
      </w:r>
      <w:r>
        <w:rPr>
          <w:rFonts w:hint="default" w:ascii="仿宋_GB2312" w:hAnsi="仿宋_GB2312" w:eastAsia="仿宋_GB2312" w:cs="仿宋_GB2312"/>
          <w:b w:val="0"/>
          <w:bCs/>
          <w:color w:val="auto"/>
          <w:sz w:val="32"/>
          <w:szCs w:val="32"/>
          <w:highlight w:val="none"/>
          <w:lang w:val="en-US" w:eastAsia="zh-CN"/>
        </w:rPr>
        <w:t>个月的房屋租赁费用，具体金额按成交月租赁费用计算</w:t>
      </w:r>
      <w:r>
        <w:rPr>
          <w:rFonts w:hint="eastAsia" w:ascii="仿宋_GB2312" w:hAnsi="仿宋_GB2312" w:eastAsia="仿宋_GB2312" w:cs="仿宋_GB2312"/>
          <w:b w:val="0"/>
          <w:bCs/>
          <w:color w:val="auto"/>
          <w:sz w:val="32"/>
          <w:szCs w:val="32"/>
          <w:highlight w:val="none"/>
          <w:lang w:val="en-US" w:eastAsia="zh-CN"/>
        </w:rPr>
        <w:t>。</w:t>
      </w:r>
      <w:r>
        <w:rPr>
          <w:rFonts w:hint="default" w:ascii="仿宋_GB2312" w:hAnsi="仿宋_GB2312" w:eastAsia="仿宋_GB2312" w:cs="仿宋_GB2312"/>
          <w:b w:val="0"/>
          <w:bCs/>
          <w:color w:val="auto"/>
          <w:sz w:val="32"/>
          <w:szCs w:val="32"/>
          <w:highlight w:val="none"/>
          <w:lang w:val="en-US" w:eastAsia="zh-CN"/>
        </w:rPr>
        <w:t xml:space="preserve"> </w:t>
      </w:r>
    </w:p>
    <w:p w14:paraId="1EF4217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必须满足采购人基本使用要求，租赁后无需整体装饰装修或由投标人按照采购人需求进行装饰装修后可投入使用，如需装修</w:t>
      </w:r>
      <w:r>
        <w:rPr>
          <w:rFonts w:hint="eastAsia" w:ascii="仿宋_GB2312" w:hAnsi="仿宋_GB2312" w:eastAsia="仿宋_GB2312" w:cs="仿宋_GB2312"/>
          <w:bCs/>
          <w:color w:val="auto"/>
          <w:sz w:val="32"/>
          <w:szCs w:val="32"/>
          <w:highlight w:val="none"/>
          <w:lang w:val="en-US" w:eastAsia="zh-CN"/>
        </w:rPr>
        <w:t>或维护</w:t>
      </w:r>
      <w:r>
        <w:rPr>
          <w:rFonts w:hint="eastAsia" w:ascii="仿宋_GB2312" w:hAnsi="仿宋_GB2312" w:eastAsia="仿宋_GB2312" w:cs="仿宋_GB2312"/>
          <w:bCs/>
          <w:color w:val="auto"/>
          <w:sz w:val="32"/>
          <w:szCs w:val="32"/>
          <w:highlight w:val="none"/>
        </w:rPr>
        <w:t>，装修</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维护</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时间不超过一周（装修费包含在本项目投标报价内，采购人无需额外承担任何其他费用，例如门窗的加装及维修）</w:t>
      </w:r>
      <w:r>
        <w:rPr>
          <w:rFonts w:hint="eastAsia" w:ascii="仿宋_GB2312" w:hAnsi="仿宋_GB2312" w:eastAsia="仿宋_GB2312" w:cs="仿宋_GB2312"/>
          <w:bCs/>
          <w:color w:val="auto"/>
          <w:sz w:val="32"/>
          <w:szCs w:val="32"/>
          <w:highlight w:val="none"/>
          <w:lang w:eastAsia="zh-CN"/>
        </w:rPr>
        <w:t>。</w:t>
      </w:r>
    </w:p>
    <w:p w14:paraId="69C2FA6E">
      <w:pPr>
        <w:numPr>
          <w:ilvl w:val="0"/>
          <w:numId w:val="0"/>
        </w:numPr>
        <w:tabs>
          <w:tab w:val="left" w:pos="540"/>
        </w:tabs>
        <w:autoSpaceDE/>
        <w:autoSpaceDN/>
        <w:snapToGrid w:val="0"/>
        <w:spacing w:line="360" w:lineRule="auto"/>
        <w:ind w:leftChars="0" w:firstLine="640" w:firstLineChars="200"/>
        <w:jc w:val="both"/>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lang w:val="en-US" w:eastAsia="zh-CN"/>
        </w:rPr>
        <w:t>四、</w:t>
      </w:r>
      <w:r>
        <w:rPr>
          <w:rFonts w:hint="eastAsia" w:ascii="黑体" w:hAnsi="黑体" w:eastAsia="黑体" w:cs="黑体"/>
          <w:b w:val="0"/>
          <w:bCs/>
          <w:color w:val="auto"/>
          <w:sz w:val="32"/>
          <w:szCs w:val="32"/>
          <w:highlight w:val="none"/>
        </w:rPr>
        <w:t>服务水平要求</w:t>
      </w:r>
    </w:p>
    <w:p w14:paraId="39FAB640">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（一）清洁要求：宿舍大楼的公共区域须保持每天清洁，每月清洗，保持大楼空气清新无异味。</w:t>
      </w:r>
    </w:p>
    <w:p w14:paraId="476CAD7A">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（二）安保要求：宿舍大楼需在相关通道设置门禁</w:t>
      </w:r>
      <w:r>
        <w:rPr>
          <w:rFonts w:hint="eastAsia" w:ascii="仿宋_GB2312" w:hAnsi="仿宋_GB2312" w:eastAsia="仿宋_GB2312" w:cs="仿宋_GB2312"/>
          <w:b w:val="0"/>
          <w:bCs/>
          <w:color w:val="auto"/>
          <w:sz w:val="32"/>
          <w:szCs w:val="32"/>
          <w:highlight w:val="none"/>
          <w:lang w:eastAsia="zh-CN"/>
        </w:rPr>
        <w:t>、监控录像及</w:t>
      </w:r>
      <w:r>
        <w:rPr>
          <w:rFonts w:hint="eastAsia" w:ascii="仿宋_GB2312" w:hAnsi="仿宋_GB2312" w:eastAsia="仿宋_GB2312" w:cs="仿宋_GB2312"/>
          <w:b w:val="0"/>
          <w:bCs/>
          <w:color w:val="auto"/>
          <w:sz w:val="32"/>
          <w:szCs w:val="32"/>
          <w:highlight w:val="none"/>
        </w:rPr>
        <w:t>安保人员值班等，防止外来人员尾随进楼，以致发生安保责任事故。</w:t>
      </w:r>
    </w:p>
    <w:p w14:paraId="7C677E56">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（三）设施维护要求：</w:t>
      </w:r>
      <w:r>
        <w:rPr>
          <w:rFonts w:hint="eastAsia" w:ascii="仿宋_GB2312" w:hAnsi="仿宋_GB2312" w:eastAsia="仿宋_GB2312" w:cs="仿宋_GB2312"/>
          <w:b w:val="0"/>
          <w:bCs/>
          <w:color w:val="auto"/>
          <w:sz w:val="32"/>
          <w:szCs w:val="32"/>
          <w:highlight w:val="none"/>
          <w:lang w:val="en-US" w:eastAsia="zh-CN"/>
        </w:rPr>
        <w:t>服务商</w:t>
      </w:r>
      <w:r>
        <w:rPr>
          <w:rFonts w:hint="eastAsia" w:ascii="仿宋_GB2312" w:hAnsi="仿宋_GB2312" w:eastAsia="仿宋_GB2312" w:cs="仿宋_GB2312"/>
          <w:b w:val="0"/>
          <w:bCs/>
          <w:color w:val="auto"/>
          <w:sz w:val="32"/>
          <w:szCs w:val="32"/>
          <w:highlight w:val="none"/>
        </w:rPr>
        <w:t>应对公共区域的设施需做到跟进使用和及时保养</w:t>
      </w:r>
      <w:r>
        <w:rPr>
          <w:rFonts w:hint="eastAsia" w:ascii="仿宋_GB2312" w:hAnsi="仿宋_GB2312" w:eastAsia="仿宋_GB2312" w:cs="仿宋_GB2312"/>
          <w:b w:val="0"/>
          <w:bCs/>
          <w:color w:val="auto"/>
          <w:sz w:val="32"/>
          <w:szCs w:val="32"/>
          <w:highlight w:val="none"/>
          <w:lang w:eastAsia="zh-CN"/>
        </w:rPr>
        <w:t>。</w:t>
      </w:r>
    </w:p>
    <w:p w14:paraId="267A352E">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（四）专人管家应全程跟进员工反馈的维修需求，24小时内解决，遇到无法及时维修的情况，需做好相关的协调，不影响员工的生活。管家需及时了解宿舍大楼的情况，确保员工人身和财产的安全。</w:t>
      </w:r>
    </w:p>
    <w:p w14:paraId="22CD339B">
      <w:pPr>
        <w:spacing w:before="32" w:line="422" w:lineRule="auto"/>
        <w:ind w:left="9" w:right="3" w:firstLine="640" w:firstLineChars="200"/>
        <w:jc w:val="both"/>
        <w:rPr>
          <w:rFonts w:hint="eastAsia" w:ascii="仿宋_GB2312" w:hAnsi="仿宋_GB2312" w:eastAsia="仿宋_GB2312" w:cs="仿宋_GB2312"/>
          <w:bCs/>
          <w:color w:val="auto"/>
          <w:spacing w:val="0"/>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五</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color w:val="000000"/>
          <w:spacing w:val="-1"/>
          <w:sz w:val="28"/>
          <w:szCs w:val="28"/>
        </w:rPr>
        <w:t>★</w:t>
      </w:r>
      <w:r>
        <w:rPr>
          <w:rFonts w:hint="eastAsia" w:ascii="仿宋_GB2312" w:hAnsi="仿宋_GB2312" w:eastAsia="仿宋_GB2312" w:cs="仿宋_GB2312"/>
          <w:b w:val="0"/>
          <w:bCs/>
          <w:color w:val="auto"/>
          <w:spacing w:val="0"/>
          <w:sz w:val="32"/>
          <w:szCs w:val="32"/>
          <w:highlight w:val="none"/>
        </w:rPr>
        <w:t>售后服务</w:t>
      </w:r>
      <w:r>
        <w:rPr>
          <w:rFonts w:hint="eastAsia" w:ascii="仿宋_GB2312" w:hAnsi="仿宋_GB2312" w:eastAsia="仿宋_GB2312" w:cs="仿宋_GB2312"/>
          <w:bCs/>
          <w:color w:val="auto"/>
          <w:spacing w:val="0"/>
          <w:sz w:val="32"/>
          <w:szCs w:val="32"/>
          <w:highlight w:val="none"/>
        </w:rPr>
        <w:t>：中标单位应无偿提供出租场所的本体维修，及时响应采购人提出的相关维修服务，如属于中</w:t>
      </w:r>
      <w:r>
        <w:rPr>
          <w:rFonts w:hint="eastAsia" w:ascii="仿宋_GB2312" w:hAnsi="仿宋_GB2312" w:eastAsia="仿宋_GB2312" w:cs="仿宋_GB2312"/>
          <w:bCs/>
          <w:color w:val="auto"/>
          <w:sz w:val="32"/>
          <w:szCs w:val="32"/>
          <w:highlight w:val="none"/>
        </w:rPr>
        <w:t xml:space="preserve"> </w:t>
      </w:r>
      <w:r>
        <w:rPr>
          <w:rFonts w:hint="eastAsia" w:ascii="仿宋_GB2312" w:hAnsi="仿宋_GB2312" w:eastAsia="仿宋_GB2312" w:cs="仿宋_GB2312"/>
          <w:bCs/>
          <w:color w:val="auto"/>
          <w:spacing w:val="0"/>
          <w:sz w:val="32"/>
          <w:szCs w:val="32"/>
          <w:highlight w:val="none"/>
        </w:rPr>
        <w:t>标单位维修范围的内容中标单位无故拖延，导致的一切后果由中标单位承担，采购人有权不予支付当期费用，并终止合同。</w:t>
      </w:r>
    </w:p>
    <w:p w14:paraId="2A0BD5CC">
      <w:pPr>
        <w:numPr>
          <w:ilvl w:val="0"/>
          <w:numId w:val="0"/>
        </w:numPr>
        <w:tabs>
          <w:tab w:val="left" w:pos="540"/>
        </w:tabs>
        <w:autoSpaceDE/>
        <w:autoSpaceDN/>
        <w:snapToGrid w:val="0"/>
        <w:spacing w:line="360" w:lineRule="auto"/>
        <w:ind w:leftChars="0" w:firstLine="640" w:firstLineChars="200"/>
        <w:jc w:val="both"/>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lang w:val="en-US" w:eastAsia="zh-CN"/>
        </w:rPr>
        <w:t xml:space="preserve">五、验收标准 </w:t>
      </w:r>
    </w:p>
    <w:p w14:paraId="72B22BF1">
      <w:pPr>
        <w:numPr>
          <w:ilvl w:val="0"/>
          <w:numId w:val="0"/>
        </w:numPr>
        <w:tabs>
          <w:tab w:val="left" w:pos="540"/>
        </w:tabs>
        <w:autoSpaceDE/>
        <w:autoSpaceDN/>
        <w:snapToGrid w:val="0"/>
        <w:spacing w:line="360" w:lineRule="auto"/>
        <w:ind w:leftChars="0" w:firstLine="640" w:firstLineChars="200"/>
        <w:jc w:val="both"/>
        <w:rPr>
          <w:rFonts w:hint="default" w:ascii="仿宋_GB2312" w:hAnsi="仿宋_GB2312" w:eastAsia="仿宋_GB2312" w:cs="仿宋_GB2312"/>
          <w:b w:val="0"/>
          <w:bCs/>
          <w:color w:val="auto"/>
          <w:sz w:val="32"/>
          <w:szCs w:val="32"/>
          <w:highlight w:val="none"/>
          <w:lang w:val="en-US" w:eastAsia="zh-CN"/>
        </w:rPr>
      </w:pPr>
      <w:r>
        <w:rPr>
          <w:rFonts w:hint="default" w:ascii="仿宋_GB2312" w:hAnsi="仿宋_GB2312" w:eastAsia="仿宋_GB2312" w:cs="仿宋_GB2312"/>
          <w:b w:val="0"/>
          <w:bCs/>
          <w:color w:val="auto"/>
          <w:sz w:val="32"/>
          <w:szCs w:val="32"/>
          <w:highlight w:val="none"/>
          <w:lang w:val="en-US" w:eastAsia="zh-CN"/>
        </w:rPr>
        <w:t>成交供应商提供的租赁用房、配套设备及相关服务须符合采购人的所有要求</w:t>
      </w:r>
      <w:r>
        <w:rPr>
          <w:rFonts w:ascii="仿宋_GB2312" w:hAnsi="仿宋_GB2312" w:eastAsia="仿宋_GB2312" w:cs="仿宋_GB2312"/>
          <w:bCs/>
          <w:color w:val="auto"/>
          <w:spacing w:val="0"/>
          <w:sz w:val="32"/>
          <w:szCs w:val="32"/>
          <w:highlight w:val="none"/>
        </w:rPr>
        <w:t>求并可投入使用</w:t>
      </w:r>
      <w:r>
        <w:rPr>
          <w:rFonts w:hint="default" w:ascii="仿宋_GB2312" w:hAnsi="仿宋_GB2312" w:eastAsia="仿宋_GB2312" w:cs="仿宋_GB2312"/>
          <w:b w:val="0"/>
          <w:bCs/>
          <w:color w:val="auto"/>
          <w:sz w:val="32"/>
          <w:szCs w:val="32"/>
          <w:highlight w:val="none"/>
          <w:lang w:val="en-US" w:eastAsia="zh-CN"/>
        </w:rPr>
        <w:t>。</w:t>
      </w:r>
    </w:p>
    <w:p w14:paraId="4AD50606">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lang w:eastAsia="zh-CN"/>
        </w:rPr>
      </w:pPr>
      <w:r>
        <w:rPr>
          <w:rFonts w:hint="default" w:ascii="仿宋_GB2312" w:hAnsi="仿宋_GB2312" w:eastAsia="仿宋_GB2312" w:cs="仿宋_GB2312"/>
          <w:bCs/>
          <w:color w:val="auto"/>
          <w:sz w:val="32"/>
          <w:szCs w:val="32"/>
          <w:highlight w:val="none"/>
        </w:rPr>
        <w:t>中标单位</w:t>
      </w:r>
      <w:r>
        <w:rPr>
          <w:rFonts w:hint="eastAsia" w:ascii="仿宋_GB2312" w:hAnsi="仿宋_GB2312" w:eastAsia="仿宋_GB2312" w:cs="仿宋_GB2312"/>
          <w:bCs/>
          <w:color w:val="auto"/>
          <w:sz w:val="32"/>
          <w:szCs w:val="32"/>
          <w:highlight w:val="none"/>
          <w:lang w:val="en-US" w:eastAsia="zh-CN"/>
        </w:rPr>
        <w:t>承诺</w:t>
      </w:r>
      <w:r>
        <w:rPr>
          <w:rFonts w:hint="default" w:ascii="仿宋_GB2312" w:hAnsi="仿宋_GB2312" w:eastAsia="仿宋_GB2312" w:cs="仿宋_GB2312"/>
          <w:bCs/>
          <w:color w:val="auto"/>
          <w:sz w:val="32"/>
          <w:szCs w:val="32"/>
          <w:highlight w:val="none"/>
        </w:rPr>
        <w:t>没有外因(如：涉及租赁权、抵押权、房屋债务问题等)限制房屋交付使用</w:t>
      </w:r>
      <w:r>
        <w:rPr>
          <w:rFonts w:hint="eastAsia" w:ascii="仿宋_GB2312" w:hAnsi="仿宋_GB2312" w:eastAsia="仿宋_GB2312" w:cs="仿宋_GB2312"/>
          <w:bCs/>
          <w:color w:val="auto"/>
          <w:sz w:val="32"/>
          <w:szCs w:val="32"/>
          <w:highlight w:val="none"/>
          <w:lang w:eastAsia="zh-CN"/>
        </w:rPr>
        <w:t>。</w:t>
      </w:r>
    </w:p>
    <w:p w14:paraId="7533FAF5">
      <w:pPr>
        <w:numPr>
          <w:ilvl w:val="0"/>
          <w:numId w:val="0"/>
        </w:numPr>
        <w:tabs>
          <w:tab w:val="left" w:pos="540"/>
        </w:tabs>
        <w:autoSpaceDE/>
        <w:autoSpaceDN/>
        <w:snapToGrid w:val="0"/>
        <w:spacing w:line="360" w:lineRule="auto"/>
        <w:ind w:leftChars="0" w:firstLine="640" w:firstLineChars="200"/>
        <w:jc w:val="both"/>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六</w:t>
      </w:r>
      <w:r>
        <w:rPr>
          <w:rFonts w:hint="default" w:ascii="黑体" w:hAnsi="黑体" w:eastAsia="黑体" w:cs="黑体"/>
          <w:b w:val="0"/>
          <w:bCs/>
          <w:color w:val="auto"/>
          <w:sz w:val="32"/>
          <w:szCs w:val="32"/>
          <w:highlight w:val="none"/>
          <w:lang w:val="en-US" w:eastAsia="zh-CN"/>
        </w:rPr>
        <w:t xml:space="preserve">、报价要求 </w:t>
      </w:r>
    </w:p>
    <w:p w14:paraId="7737DCA1">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rPr>
      </w:pPr>
      <w:r>
        <w:rPr>
          <w:rFonts w:hint="default" w:ascii="仿宋_GB2312" w:hAnsi="仿宋_GB2312" w:eastAsia="仿宋_GB2312" w:cs="仿宋_GB2312"/>
          <w:b w:val="0"/>
          <w:bCs/>
          <w:color w:val="auto"/>
          <w:sz w:val="32"/>
          <w:szCs w:val="32"/>
          <w:highlight w:val="none"/>
          <w:lang w:val="en-US" w:eastAsia="zh-CN"/>
        </w:rPr>
        <w:t>本项目响应报价包括但不限于</w:t>
      </w:r>
      <w:r>
        <w:rPr>
          <w:rFonts w:hint="default" w:ascii="仿宋_GB2312" w:hAnsi="仿宋_GB2312" w:eastAsia="仿宋_GB2312" w:cs="仿宋_GB2312"/>
          <w:bCs/>
          <w:color w:val="auto"/>
          <w:sz w:val="32"/>
          <w:szCs w:val="32"/>
          <w:highlight w:val="none"/>
        </w:rPr>
        <w:t>房屋租赁费、服务成本、法定税费、检测设备、管理费用、保洁人员费用、装修费、办公设备购置费用等所需的一切费用</w:t>
      </w:r>
      <w:r>
        <w:rPr>
          <w:rFonts w:hint="default" w:ascii="仿宋_GB2312" w:hAnsi="仿宋_GB2312" w:eastAsia="仿宋_GB2312" w:cs="仿宋_GB2312"/>
          <w:b w:val="0"/>
          <w:bCs/>
          <w:color w:val="auto"/>
          <w:sz w:val="32"/>
          <w:szCs w:val="32"/>
          <w:highlight w:val="none"/>
          <w:lang w:val="en-US" w:eastAsia="zh-CN"/>
        </w:rPr>
        <w:t>。</w:t>
      </w:r>
      <w:r>
        <w:rPr>
          <w:rFonts w:hint="eastAsia" w:ascii="仿宋_GB2312" w:hAnsi="仿宋_GB2312" w:eastAsia="仿宋_GB2312" w:cs="仿宋_GB2312"/>
          <w:b w:val="0"/>
          <w:bCs/>
          <w:color w:val="auto"/>
          <w:sz w:val="32"/>
          <w:szCs w:val="32"/>
          <w:highlight w:val="none"/>
          <w:lang w:val="en-US" w:eastAsia="zh-CN"/>
        </w:rPr>
        <w:t>水电气、物业管理费、</w:t>
      </w:r>
      <w:r>
        <w:rPr>
          <w:rFonts w:hint="default" w:ascii="仿宋_GB2312" w:hAnsi="仿宋_GB2312" w:eastAsia="仿宋_GB2312" w:cs="仿宋_GB2312"/>
          <w:bCs/>
          <w:color w:val="auto"/>
          <w:sz w:val="32"/>
          <w:szCs w:val="32"/>
          <w:highlight w:val="none"/>
        </w:rPr>
        <w:t>网络使用费</w:t>
      </w:r>
      <w:r>
        <w:rPr>
          <w:rFonts w:hint="eastAsia" w:ascii="仿宋_GB2312" w:hAnsi="仿宋_GB2312" w:eastAsia="仿宋_GB2312" w:cs="仿宋_GB2312"/>
          <w:b w:val="0"/>
          <w:bCs/>
          <w:color w:val="auto"/>
          <w:sz w:val="32"/>
          <w:szCs w:val="32"/>
          <w:highlight w:val="none"/>
          <w:lang w:val="en-US" w:eastAsia="zh-CN"/>
        </w:rPr>
        <w:t>另计，并在报价方案中注明。</w:t>
      </w:r>
      <w:r>
        <w:rPr>
          <w:rFonts w:hint="default" w:ascii="仿宋_GB2312" w:hAnsi="仿宋_GB2312" w:eastAsia="仿宋_GB2312" w:cs="仿宋_GB2312"/>
          <w:b w:val="0"/>
          <w:bCs/>
          <w:color w:val="auto"/>
          <w:sz w:val="32"/>
          <w:szCs w:val="32"/>
          <w:highlight w:val="none"/>
          <w:lang w:val="en-US" w:eastAsia="zh-CN"/>
        </w:rPr>
        <w:t xml:space="preserve"> </w:t>
      </w:r>
    </w:p>
    <w:p w14:paraId="68510BBE">
      <w:pPr>
        <w:numPr>
          <w:ilvl w:val="0"/>
          <w:numId w:val="0"/>
        </w:numPr>
        <w:tabs>
          <w:tab w:val="left" w:pos="540"/>
        </w:tabs>
        <w:autoSpaceDE/>
        <w:autoSpaceDN/>
        <w:snapToGrid w:val="0"/>
        <w:spacing w:line="360" w:lineRule="auto"/>
        <w:ind w:leftChars="0" w:firstLine="640" w:firstLineChars="200"/>
        <w:jc w:val="both"/>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七</w:t>
      </w:r>
      <w:r>
        <w:rPr>
          <w:rFonts w:hint="default" w:ascii="黑体" w:hAnsi="黑体" w:eastAsia="黑体" w:cs="黑体"/>
          <w:b w:val="0"/>
          <w:bCs/>
          <w:color w:val="auto"/>
          <w:sz w:val="32"/>
          <w:szCs w:val="32"/>
          <w:highlight w:val="none"/>
          <w:lang w:val="en-US" w:eastAsia="zh-CN"/>
        </w:rPr>
        <w:t xml:space="preserve">、付款方式 </w:t>
      </w:r>
    </w:p>
    <w:p w14:paraId="46272198">
      <w:pPr>
        <w:numPr>
          <w:ilvl w:val="0"/>
          <w:numId w:val="0"/>
        </w:numPr>
        <w:tabs>
          <w:tab w:val="left" w:pos="540"/>
        </w:tabs>
        <w:autoSpaceDE/>
        <w:autoSpaceDN/>
        <w:snapToGrid w:val="0"/>
        <w:spacing w:line="360" w:lineRule="auto"/>
        <w:ind w:leftChars="0" w:firstLine="640" w:firstLineChars="200"/>
        <w:jc w:val="both"/>
        <w:rPr>
          <w:rFonts w:hint="eastAsia" w:ascii="仿宋_GB2312" w:hAnsi="仿宋_GB2312" w:eastAsia="仿宋_GB2312" w:cs="仿宋_GB2312"/>
          <w:b w:val="0"/>
          <w:bCs/>
          <w:color w:val="auto"/>
          <w:sz w:val="32"/>
          <w:szCs w:val="32"/>
          <w:highlight w:val="none"/>
        </w:rPr>
      </w:pPr>
      <w:r>
        <w:rPr>
          <w:rFonts w:hint="default" w:ascii="仿宋_GB2312" w:hAnsi="仿宋_GB2312" w:eastAsia="仿宋_GB2312" w:cs="仿宋_GB2312"/>
          <w:b w:val="0"/>
          <w:bCs/>
          <w:color w:val="auto"/>
          <w:sz w:val="32"/>
          <w:szCs w:val="32"/>
          <w:highlight w:val="none"/>
          <w:lang w:val="en-US" w:eastAsia="zh-CN"/>
        </w:rPr>
        <w:t>根据成交单价</w:t>
      </w:r>
      <w:r>
        <w:rPr>
          <w:rFonts w:hint="eastAsia" w:ascii="仿宋_GB2312" w:hAnsi="仿宋_GB2312" w:eastAsia="仿宋_GB2312" w:cs="仿宋_GB2312"/>
          <w:b w:val="0"/>
          <w:bCs/>
          <w:color w:val="auto"/>
          <w:sz w:val="32"/>
          <w:szCs w:val="32"/>
          <w:highlight w:val="none"/>
          <w:lang w:val="en-US" w:eastAsia="zh-CN"/>
        </w:rPr>
        <w:t>按</w:t>
      </w:r>
      <w:r>
        <w:rPr>
          <w:rFonts w:hint="default" w:ascii="仿宋_GB2312" w:hAnsi="仿宋_GB2312" w:eastAsia="仿宋_GB2312" w:cs="仿宋_GB2312"/>
          <w:b w:val="0"/>
          <w:bCs/>
          <w:color w:val="auto"/>
          <w:sz w:val="32"/>
          <w:szCs w:val="32"/>
          <w:highlight w:val="none"/>
          <w:lang w:val="en-US" w:eastAsia="zh-CN"/>
        </w:rPr>
        <w:t>月</w:t>
      </w:r>
      <w:r>
        <w:rPr>
          <w:rFonts w:hint="eastAsia" w:ascii="仿宋_GB2312" w:hAnsi="仿宋_GB2312" w:eastAsia="仿宋_GB2312" w:cs="仿宋_GB2312"/>
          <w:b w:val="0"/>
          <w:bCs/>
          <w:color w:val="auto"/>
          <w:sz w:val="32"/>
          <w:szCs w:val="32"/>
          <w:highlight w:val="none"/>
          <w:lang w:val="en-US" w:eastAsia="zh-CN"/>
        </w:rPr>
        <w:t>度</w:t>
      </w:r>
      <w:r>
        <w:rPr>
          <w:rFonts w:hint="default" w:ascii="仿宋_GB2312" w:hAnsi="仿宋_GB2312" w:eastAsia="仿宋_GB2312" w:cs="仿宋_GB2312"/>
          <w:b w:val="0"/>
          <w:bCs/>
          <w:color w:val="auto"/>
          <w:sz w:val="32"/>
          <w:szCs w:val="32"/>
          <w:highlight w:val="none"/>
          <w:lang w:val="en-US" w:eastAsia="zh-CN"/>
        </w:rPr>
        <w:t>付费。成交供应商需按月开具正式税务发票交采购人。采购人在收到成交供应商提供的发票后</w:t>
      </w:r>
      <w:r>
        <w:rPr>
          <w:rFonts w:hint="eastAsia" w:ascii="仿宋_GB2312" w:hAnsi="仿宋_GB2312" w:eastAsia="仿宋_GB2312" w:cs="仿宋_GB2312"/>
          <w:b w:val="0"/>
          <w:bCs/>
          <w:color w:val="auto"/>
          <w:sz w:val="32"/>
          <w:szCs w:val="32"/>
          <w:highlight w:val="none"/>
          <w:lang w:val="en-US" w:eastAsia="zh-CN"/>
        </w:rPr>
        <w:t>十五个工作日按内审规定</w:t>
      </w:r>
      <w:r>
        <w:rPr>
          <w:rFonts w:hint="default" w:ascii="仿宋_GB2312" w:hAnsi="仿宋_GB2312" w:eastAsia="仿宋_GB2312" w:cs="仿宋_GB2312"/>
          <w:b w:val="0"/>
          <w:bCs/>
          <w:color w:val="auto"/>
          <w:sz w:val="32"/>
          <w:szCs w:val="32"/>
          <w:highlight w:val="none"/>
          <w:lang w:val="en-US" w:eastAsia="zh-CN"/>
        </w:rPr>
        <w:t xml:space="preserve">办理支付手续。 </w:t>
      </w:r>
    </w:p>
    <w:p w14:paraId="4339E036">
      <w:pPr>
        <w:numPr>
          <w:ilvl w:val="0"/>
          <w:numId w:val="0"/>
        </w:numPr>
        <w:tabs>
          <w:tab w:val="left" w:pos="540"/>
        </w:tabs>
        <w:autoSpaceDE/>
        <w:autoSpaceDN/>
        <w:snapToGrid w:val="0"/>
        <w:spacing w:line="360" w:lineRule="auto"/>
        <w:ind w:leftChars="0" w:firstLine="640" w:firstLineChars="200"/>
        <w:jc w:val="both"/>
      </w:pPr>
      <w:r>
        <w:rPr>
          <w:rFonts w:hint="eastAsia" w:ascii="仿宋_GB2312" w:hAnsi="仿宋_GB2312" w:eastAsia="仿宋_GB2312" w:cs="仿宋_GB2312"/>
          <w:b w:val="0"/>
          <w:bCs/>
          <w:color w:val="auto"/>
          <w:sz w:val="32"/>
          <w:szCs w:val="32"/>
          <w:highlight w:val="none"/>
          <w:lang w:val="en-US" w:eastAsia="zh-CN"/>
        </w:rPr>
        <w:t>注：以上含★为不可偏离指标。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4735162-9D8D-47A1-9330-A8412B542D8D}"/>
  </w:font>
  <w:font w:name="黑体">
    <w:panose1 w:val="02010609060101010101"/>
    <w:charset w:val="86"/>
    <w:family w:val="auto"/>
    <w:pitch w:val="default"/>
    <w:sig w:usb0="800002BF" w:usb1="38CF7CFA" w:usb2="00000016" w:usb3="00000000" w:csb0="00040001" w:csb1="00000000"/>
    <w:embedRegular r:id="rId2" w:fontKey="{0BFC4692-5FD5-4BBE-8A1C-6CF28F61F2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06466BFD-D370-49D6-85F0-03FA4711A890}"/>
  </w:font>
  <w:font w:name="仿宋_GB2312">
    <w:panose1 w:val="02010609030101010101"/>
    <w:charset w:val="86"/>
    <w:family w:val="auto"/>
    <w:pitch w:val="default"/>
    <w:sig w:usb0="00000001" w:usb1="080E0000" w:usb2="00000000" w:usb3="00000000" w:csb0="00040000" w:csb1="00000000"/>
    <w:embedRegular r:id="rId4" w:fontKey="{09C159F2-05EB-47EB-B011-669DA30A0C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03964DE0"/>
    <w:rsid w:val="020A14E2"/>
    <w:rsid w:val="03964DE0"/>
    <w:rsid w:val="0A593585"/>
    <w:rsid w:val="10C45295"/>
    <w:rsid w:val="10F63064"/>
    <w:rsid w:val="167A632F"/>
    <w:rsid w:val="19E41BC5"/>
    <w:rsid w:val="22543660"/>
    <w:rsid w:val="24E16D01"/>
    <w:rsid w:val="26A40E7E"/>
    <w:rsid w:val="27E30247"/>
    <w:rsid w:val="2BAB66F0"/>
    <w:rsid w:val="3F780536"/>
    <w:rsid w:val="3F954B5E"/>
    <w:rsid w:val="41F8770C"/>
    <w:rsid w:val="464E09D6"/>
    <w:rsid w:val="485D2B4A"/>
    <w:rsid w:val="4B0709C0"/>
    <w:rsid w:val="4D7B2615"/>
    <w:rsid w:val="4EC15329"/>
    <w:rsid w:val="544B7B6F"/>
    <w:rsid w:val="57420E85"/>
    <w:rsid w:val="5E9962FC"/>
    <w:rsid w:val="60DA11F4"/>
    <w:rsid w:val="622A40C5"/>
    <w:rsid w:val="64357EF4"/>
    <w:rsid w:val="685E210F"/>
    <w:rsid w:val="69FF2B55"/>
    <w:rsid w:val="6D7E290C"/>
    <w:rsid w:val="6F1A3622"/>
    <w:rsid w:val="72B667C5"/>
    <w:rsid w:val="76595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Times New Roman" w:hAnsi="Times New Roman" w:eastAsia="宋体" w:cs="Times New Roman"/>
      <w:lang w:val="en-US" w:eastAsia="zh-CN" w:bidi="ar-SA"/>
    </w:rPr>
  </w:style>
  <w:style w:type="paragraph" w:styleId="2">
    <w:name w:val="heading 1"/>
    <w:basedOn w:val="1"/>
    <w:next w:val="1"/>
    <w:link w:val="8"/>
    <w:autoRedefine/>
    <w:qFormat/>
    <w:uiPriority w:val="9"/>
    <w:pPr>
      <w:keepNext/>
      <w:keepLines/>
      <w:spacing w:before="340" w:after="330" w:line="576" w:lineRule="auto"/>
      <w:outlineLvl w:val="0"/>
    </w:pPr>
    <w:rPr>
      <w:b/>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autoSpaceDE/>
      <w:autoSpaceDN/>
      <w:adjustRightInd/>
      <w:spacing w:after="120"/>
      <w:jc w:val="both"/>
    </w:pPr>
    <w:rPr>
      <w:szCs w:val="24"/>
    </w:rPr>
  </w:style>
  <w:style w:type="paragraph" w:styleId="4">
    <w:name w:val="Normal (Web)"/>
    <w:basedOn w:val="1"/>
    <w:autoRedefine/>
    <w:qFormat/>
    <w:uiPriority w:val="99"/>
    <w:pPr>
      <w:widowControl/>
      <w:autoSpaceDE/>
      <w:autoSpaceDN/>
      <w:adjustRightInd/>
      <w:spacing w:before="100" w:beforeAutospacing="1" w:after="100" w:afterAutospacing="1"/>
    </w:pPr>
    <w:rPr>
      <w:rFonts w:ascii="宋体" w:hAnsi="宋体"/>
      <w:sz w:val="24"/>
      <w:szCs w:val="24"/>
    </w:rPr>
  </w:style>
  <w:style w:type="character" w:styleId="7">
    <w:name w:val="annotation reference"/>
    <w:autoRedefine/>
    <w:qFormat/>
    <w:uiPriority w:val="0"/>
    <w:rPr>
      <w:sz w:val="21"/>
      <w:szCs w:val="21"/>
    </w:rPr>
  </w:style>
  <w:style w:type="character" w:customStyle="1" w:styleId="8">
    <w:name w:val="标题 1 字符"/>
    <w:link w:val="2"/>
    <w:autoRedefine/>
    <w:qFormat/>
    <w:uiPriority w:val="0"/>
    <w:rPr>
      <w:b/>
      <w:kern w:val="44"/>
      <w:sz w:val="44"/>
    </w:rPr>
  </w:style>
  <w:style w:type="paragraph" w:styleId="9">
    <w:name w:val="List Paragraph"/>
    <w:basedOn w:val="1"/>
    <w:autoRedefine/>
    <w:qFormat/>
    <w:uiPriority w:val="34"/>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2260</Words>
  <Characters>2310</Characters>
  <Lines>0</Lines>
  <Paragraphs>0</Paragraphs>
  <TotalTime>0</TotalTime>
  <ScaleCrop>false</ScaleCrop>
  <LinksUpToDate>false</LinksUpToDate>
  <CharactersWithSpaces>2320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2024-05-31T07:59:00Z</dcterms:created>
  <dc:creator>杨振杰</dc:creator>
  <cp:lastModifiedBy>scott</cp:lastModifiedBy>
  <dcterms:modified xsi:type="dcterms:W3CDTF">2024-07-25T01:33:20Z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E6C33495D69442C7809FBFCC4D921D7A_13</vt:lpwstr>
  </property>
</Properties>
</file>