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DB0DA">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深圳市中医肛肠医院（福田）202</w:t>
      </w:r>
      <w:r>
        <w:rPr>
          <w:rFonts w:hint="eastAsia" w:ascii="方正小标宋_GBK" w:hAnsi="方正小标宋_GBK" w:eastAsia="方正小标宋_GBK" w:cs="方正小标宋_GBK"/>
          <w:sz w:val="36"/>
          <w:szCs w:val="36"/>
          <w:lang w:val="en-US" w:eastAsia="zh-CN"/>
        </w:rPr>
        <w:t>5</w:t>
      </w:r>
      <w:r>
        <w:rPr>
          <w:rFonts w:hint="eastAsia" w:ascii="方正小标宋_GBK" w:hAnsi="方正小标宋_GBK" w:eastAsia="方正小标宋_GBK" w:cs="方正小标宋_GBK"/>
          <w:sz w:val="36"/>
          <w:szCs w:val="36"/>
        </w:rPr>
        <w:t>年度</w:t>
      </w:r>
      <w:r>
        <w:rPr>
          <w:rFonts w:hint="eastAsia" w:ascii="方正小标宋_GBK" w:hAnsi="方正小标宋_GBK" w:eastAsia="方正小标宋_GBK" w:cs="方正小标宋_GBK"/>
          <w:b w:val="0"/>
          <w:bCs w:val="0"/>
          <w:sz w:val="36"/>
          <w:szCs w:val="36"/>
          <w:lang w:val="en-US" w:eastAsia="zh-CN"/>
        </w:rPr>
        <w:t>春节</w:t>
      </w:r>
      <w:r>
        <w:rPr>
          <w:rFonts w:hint="eastAsia" w:ascii="方正小标宋_GBK" w:hAnsi="方正小标宋_GBK" w:eastAsia="方正小标宋_GBK" w:cs="方正小标宋_GBK"/>
          <w:sz w:val="36"/>
          <w:szCs w:val="36"/>
        </w:rPr>
        <w:t>福利品采购项目需求</w:t>
      </w:r>
    </w:p>
    <w:p w14:paraId="2201F41B">
      <w:pPr>
        <w:pStyle w:val="2"/>
        <w:rPr>
          <w:rFonts w:hint="eastAsia" w:ascii="方正小标宋_GBK" w:hAnsi="方正小标宋_GBK" w:eastAsia="方正小标宋_GBK" w:cs="方正小标宋_GBK"/>
          <w:sz w:val="36"/>
          <w:szCs w:val="36"/>
        </w:rPr>
      </w:pPr>
    </w:p>
    <w:p w14:paraId="4EC3EAB9">
      <w:pPr>
        <w:spacing w:line="360" w:lineRule="auto"/>
        <w:ind w:left="2"/>
        <w:rPr>
          <w:rFonts w:ascii="宋体" w:hAnsi="宋体"/>
          <w:b/>
          <w:sz w:val="24"/>
        </w:rPr>
      </w:pPr>
      <w:r>
        <w:rPr>
          <w:rFonts w:hint="eastAsia" w:ascii="宋体" w:hAnsi="宋体"/>
          <w:b/>
          <w:sz w:val="24"/>
        </w:rPr>
        <w:t>采购范围</w:t>
      </w:r>
    </w:p>
    <w:p w14:paraId="07180B46">
      <w:pPr>
        <w:rPr>
          <w:rFonts w:ascii="宋体" w:hAnsi="宋体"/>
          <w:b/>
          <w:szCs w:val="21"/>
        </w:rPr>
      </w:pPr>
      <w:r>
        <w:rPr>
          <w:rFonts w:hint="eastAsia" w:ascii="宋体" w:hAnsi="宋体"/>
          <w:b/>
          <w:szCs w:val="21"/>
          <w:lang w:val="en-US" w:eastAsia="zh-CN"/>
        </w:rPr>
        <w:t>一、</w:t>
      </w:r>
      <w:r>
        <w:rPr>
          <w:rFonts w:hint="eastAsia" w:ascii="宋体" w:hAnsi="宋体"/>
          <w:b/>
          <w:szCs w:val="21"/>
        </w:rPr>
        <w:t>货物总清单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0E98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3B244D99">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1EF161E9">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6306E5A9">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3DA4765F">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32C4326B">
            <w:pPr>
              <w:widowControl/>
              <w:spacing w:line="360" w:lineRule="auto"/>
              <w:jc w:val="center"/>
              <w:rPr>
                <w:rFonts w:ascii="宋体" w:hAnsi="宋体" w:cs="宋体"/>
                <w:b/>
                <w:kern w:val="0"/>
                <w:szCs w:val="21"/>
              </w:rPr>
            </w:pPr>
            <w:r>
              <w:rPr>
                <w:rFonts w:hint="eastAsia" w:ascii="宋体" w:hAnsi="宋体" w:cs="宋体"/>
                <w:b/>
                <w:kern w:val="0"/>
                <w:szCs w:val="21"/>
              </w:rPr>
              <w:t>支付上限</w:t>
            </w:r>
          </w:p>
          <w:p w14:paraId="46696FA0">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0C192414">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F45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2C1DE7B6">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5F853FEF">
            <w:pPr>
              <w:widowControl/>
              <w:spacing w:line="360" w:lineRule="auto"/>
              <w:jc w:val="center"/>
              <w:rPr>
                <w:rFonts w:ascii="宋体" w:hAnsi="宋体" w:cs="宋体"/>
                <w:kern w:val="0"/>
                <w:szCs w:val="21"/>
              </w:rPr>
            </w:pPr>
            <w:r>
              <w:rPr>
                <w:rFonts w:hint="eastAsia" w:ascii="宋体" w:hAnsi="宋体" w:cs="宋体"/>
                <w:kern w:val="0"/>
                <w:szCs w:val="21"/>
              </w:rPr>
              <w:t>深圳市中医肛肠医院（福田）20</w:t>
            </w:r>
            <w:r>
              <w:rPr>
                <w:rFonts w:hint="eastAsia" w:ascii="宋体" w:hAnsi="宋体" w:cs="宋体"/>
                <w:kern w:val="0"/>
                <w:szCs w:val="21"/>
                <w:lang w:val="en-US" w:eastAsia="zh-CN"/>
              </w:rPr>
              <w:t>25</w:t>
            </w:r>
            <w:r>
              <w:rPr>
                <w:rFonts w:hint="eastAsia" w:ascii="宋体" w:hAnsi="宋体" w:cs="宋体"/>
                <w:kern w:val="0"/>
                <w:szCs w:val="21"/>
              </w:rPr>
              <w:t>年度</w:t>
            </w:r>
            <w:r>
              <w:rPr>
                <w:rFonts w:hint="eastAsia" w:ascii="宋体" w:hAnsi="宋体" w:cs="宋体"/>
                <w:kern w:val="0"/>
                <w:szCs w:val="21"/>
                <w:lang w:val="en-US" w:eastAsia="zh-CN"/>
              </w:rPr>
              <w:t>春节</w:t>
            </w:r>
            <w:r>
              <w:rPr>
                <w:rFonts w:hint="eastAsia" w:ascii="宋体" w:hAnsi="宋体" w:cs="宋体"/>
                <w:kern w:val="0"/>
                <w:szCs w:val="21"/>
              </w:rPr>
              <w:t>福利品</w:t>
            </w:r>
          </w:p>
        </w:tc>
        <w:tc>
          <w:tcPr>
            <w:tcW w:w="850" w:type="dxa"/>
            <w:tcMar>
              <w:top w:w="0" w:type="dxa"/>
              <w:left w:w="108" w:type="dxa"/>
              <w:bottom w:w="0" w:type="dxa"/>
              <w:right w:w="108" w:type="dxa"/>
            </w:tcMar>
            <w:vAlign w:val="center"/>
          </w:tcPr>
          <w:p w14:paraId="18DBFACA">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689B0108">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078C2847">
            <w:pPr>
              <w:jc w:val="center"/>
              <w:rPr>
                <w:rFonts w:hint="default" w:ascii="宋体" w:hAnsi="宋体" w:cs="宋体"/>
                <w:bCs/>
                <w:kern w:val="0"/>
                <w:szCs w:val="21"/>
                <w:lang w:val="en-US"/>
              </w:rPr>
            </w:pPr>
            <w:r>
              <w:rPr>
                <w:rFonts w:hint="eastAsia" w:ascii="宋体" w:hAnsi="宋体" w:cs="宋体"/>
                <w:bCs/>
                <w:kern w:val="0"/>
                <w:szCs w:val="21"/>
                <w:lang w:val="en-US" w:eastAsia="zh-CN"/>
              </w:rPr>
              <w:t>120000</w:t>
            </w:r>
          </w:p>
        </w:tc>
        <w:tc>
          <w:tcPr>
            <w:tcW w:w="1417" w:type="dxa"/>
            <w:vAlign w:val="center"/>
          </w:tcPr>
          <w:p w14:paraId="51E1F808">
            <w:pPr>
              <w:widowControl/>
              <w:spacing w:line="360" w:lineRule="auto"/>
              <w:jc w:val="center"/>
              <w:rPr>
                <w:rFonts w:hint="default" w:ascii="宋体" w:hAnsi="宋体" w:cs="宋体" w:eastAsiaTheme="minorEastAsia"/>
                <w:kern w:val="0"/>
                <w:szCs w:val="21"/>
                <w:lang w:val="en-US" w:eastAsia="zh-CN"/>
              </w:rPr>
            </w:pPr>
          </w:p>
        </w:tc>
      </w:tr>
    </w:tbl>
    <w:p w14:paraId="2604B303">
      <w:pPr>
        <w:widowControl/>
        <w:snapToGrid w:val="0"/>
        <w:spacing w:line="360" w:lineRule="auto"/>
        <w:ind w:left="2" w:firstLine="416" w:firstLineChars="200"/>
        <w:jc w:val="left"/>
        <w:rPr>
          <w:rFonts w:ascii="宋体" w:hAnsi="宋体"/>
          <w:bCs/>
          <w:snapToGrid w:val="0"/>
          <w:kern w:val="0"/>
          <w:szCs w:val="21"/>
        </w:rPr>
      </w:pPr>
    </w:p>
    <w:p w14:paraId="32A4EDF2">
      <w:pPr>
        <w:widowControl/>
        <w:snapToGrid w:val="0"/>
        <w:spacing w:line="360" w:lineRule="auto"/>
        <w:ind w:left="2" w:firstLine="416" w:firstLineChars="200"/>
        <w:jc w:val="left"/>
        <w:rPr>
          <w:rFonts w:hint="eastAsia" w:ascii="宋体" w:hAnsi="宋体"/>
          <w:bCs/>
          <w:snapToGrid w:val="0"/>
          <w:kern w:val="0"/>
          <w:szCs w:val="21"/>
        </w:rPr>
      </w:pPr>
      <w:r>
        <w:rPr>
          <w:rFonts w:hint="eastAsia" w:ascii="宋体" w:hAnsi="宋体"/>
          <w:bCs/>
          <w:snapToGrid w:val="0"/>
          <w:kern w:val="0"/>
          <w:szCs w:val="21"/>
          <w:lang w:val="en-US" w:eastAsia="zh-CN"/>
        </w:rPr>
        <w:t>1.</w:t>
      </w:r>
      <w:r>
        <w:rPr>
          <w:rFonts w:hint="eastAsia" w:ascii="宋体" w:hAnsi="宋体"/>
          <w:bCs/>
          <w:snapToGrid w:val="0"/>
          <w:kern w:val="0"/>
          <w:szCs w:val="21"/>
        </w:rPr>
        <w:t>根据202</w:t>
      </w:r>
      <w:r>
        <w:rPr>
          <w:rFonts w:hint="eastAsia" w:ascii="宋体" w:hAnsi="宋体"/>
          <w:bCs/>
          <w:snapToGrid w:val="0"/>
          <w:kern w:val="0"/>
          <w:szCs w:val="21"/>
          <w:lang w:val="en-US" w:eastAsia="zh-CN"/>
        </w:rPr>
        <w:t>5</w:t>
      </w:r>
      <w:r>
        <w:rPr>
          <w:rFonts w:hint="eastAsia" w:ascii="宋体" w:hAnsi="宋体"/>
          <w:bCs/>
          <w:snapToGrid w:val="0"/>
          <w:kern w:val="0"/>
          <w:szCs w:val="21"/>
        </w:rPr>
        <w:t>年工作计划，拟为职工发放</w:t>
      </w:r>
      <w:r>
        <w:rPr>
          <w:rFonts w:hint="eastAsia" w:ascii="宋体" w:hAnsi="宋体"/>
          <w:bCs/>
          <w:snapToGrid w:val="0"/>
          <w:kern w:val="0"/>
          <w:szCs w:val="21"/>
          <w:lang w:val="en-US" w:eastAsia="zh-CN"/>
        </w:rPr>
        <w:t>春节</w:t>
      </w:r>
      <w:r>
        <w:rPr>
          <w:rFonts w:hint="eastAsia" w:ascii="宋体" w:hAnsi="宋体"/>
          <w:bCs/>
          <w:snapToGrid w:val="0"/>
          <w:kern w:val="0"/>
          <w:szCs w:val="21"/>
        </w:rPr>
        <w:t>节日</w:t>
      </w:r>
      <w:r>
        <w:rPr>
          <w:rFonts w:hint="eastAsia" w:ascii="宋体" w:hAnsi="宋体"/>
          <w:bCs/>
          <w:snapToGrid w:val="0"/>
          <w:kern w:val="0"/>
          <w:szCs w:val="21"/>
          <w:lang w:val="en-US" w:eastAsia="zh-CN"/>
        </w:rPr>
        <w:t>福利品</w:t>
      </w:r>
      <w:r>
        <w:rPr>
          <w:rFonts w:hint="eastAsia" w:ascii="宋体" w:hAnsi="宋体"/>
          <w:bCs/>
          <w:snapToGrid w:val="0"/>
          <w:kern w:val="0"/>
          <w:szCs w:val="21"/>
        </w:rPr>
        <w:t>，标准为节日福利400元/人，</w:t>
      </w:r>
      <w:r>
        <w:rPr>
          <w:rFonts w:hint="eastAsia" w:ascii="宋体" w:hAnsi="宋体"/>
          <w:bCs/>
          <w:snapToGrid w:val="0"/>
          <w:kern w:val="0"/>
          <w:szCs w:val="21"/>
          <w:lang w:val="en-US" w:eastAsia="zh-CN"/>
        </w:rPr>
        <w:t>必须</w:t>
      </w:r>
      <w:r>
        <w:rPr>
          <w:rFonts w:hint="eastAsia" w:ascii="宋体" w:hAnsi="宋体"/>
          <w:bCs/>
          <w:snapToGrid w:val="0"/>
          <w:kern w:val="0"/>
          <w:szCs w:val="21"/>
        </w:rPr>
        <w:t>预计人数约</w:t>
      </w:r>
      <w:r>
        <w:rPr>
          <w:rFonts w:hint="eastAsia" w:ascii="宋体" w:hAnsi="宋体"/>
          <w:bCs/>
          <w:snapToGrid w:val="0"/>
          <w:kern w:val="0"/>
          <w:szCs w:val="21"/>
          <w:lang w:val="en-US" w:eastAsia="zh-CN"/>
        </w:rPr>
        <w:t>300</w:t>
      </w:r>
      <w:r>
        <w:rPr>
          <w:rFonts w:hint="eastAsia" w:ascii="宋体" w:hAnsi="宋体"/>
          <w:bCs/>
          <w:snapToGrid w:val="0"/>
          <w:kern w:val="0"/>
          <w:szCs w:val="21"/>
        </w:rPr>
        <w:t>人，预计花费</w:t>
      </w:r>
      <w:r>
        <w:rPr>
          <w:rFonts w:hint="eastAsia" w:ascii="宋体" w:hAnsi="宋体"/>
          <w:bCs/>
          <w:snapToGrid w:val="0"/>
          <w:kern w:val="0"/>
          <w:szCs w:val="21"/>
          <w:lang w:val="en-US" w:eastAsia="zh-CN"/>
        </w:rPr>
        <w:t>12</w:t>
      </w:r>
      <w:r>
        <w:rPr>
          <w:rFonts w:hint="eastAsia" w:ascii="宋体" w:hAnsi="宋体"/>
          <w:bCs/>
          <w:snapToGrid w:val="0"/>
          <w:kern w:val="0"/>
          <w:szCs w:val="21"/>
        </w:rPr>
        <w:t>万元，</w:t>
      </w:r>
      <w:r>
        <w:rPr>
          <w:rFonts w:ascii="宋体" w:hAnsi="宋体" w:cs="宋体"/>
          <w:kern w:val="0"/>
          <w:szCs w:val="21"/>
        </w:rPr>
        <w:t>该数额为预估数量，最终数量以实际采购数量为准</w:t>
      </w:r>
      <w:r>
        <w:rPr>
          <w:rFonts w:hint="eastAsia" w:ascii="宋体" w:hAnsi="宋体"/>
          <w:bCs/>
          <w:snapToGrid w:val="0"/>
          <w:kern w:val="0"/>
          <w:szCs w:val="21"/>
        </w:rPr>
        <w:t>。</w:t>
      </w:r>
    </w:p>
    <w:p w14:paraId="15811EAB">
      <w:pPr>
        <w:adjustRightInd w:val="0"/>
        <w:snapToGrid w:val="0"/>
        <w:spacing w:line="360" w:lineRule="auto"/>
        <w:ind w:firstLine="418" w:firstLineChars="201"/>
        <w:rPr>
          <w:rFonts w:ascii="宋体" w:hAnsi="宋体"/>
          <w:szCs w:val="21"/>
          <w:highlight w:val="yellow"/>
        </w:rPr>
      </w:pPr>
      <w:r>
        <w:rPr>
          <w:rFonts w:hint="eastAsia" w:ascii="宋体" w:hAnsi="宋体"/>
          <w:szCs w:val="21"/>
          <w:highlight w:val="yellow"/>
        </w:rPr>
        <w:t>注：★</w:t>
      </w:r>
      <w:r>
        <w:rPr>
          <w:rStyle w:val="5"/>
          <w:rFonts w:hint="eastAsia"/>
          <w:highlight w:val="yellow"/>
          <w:lang w:eastAsia="zh-CN"/>
        </w:rPr>
        <w:t>（</w:t>
      </w:r>
      <w:r>
        <w:rPr>
          <w:rStyle w:val="5"/>
          <w:rFonts w:hint="eastAsia"/>
          <w:highlight w:val="yellow"/>
          <w:lang w:val="en-US" w:eastAsia="zh-CN"/>
        </w:rPr>
        <w:t>1</w:t>
      </w:r>
      <w:r>
        <w:rPr>
          <w:rStyle w:val="5"/>
          <w:rFonts w:hint="eastAsia"/>
          <w:highlight w:val="yellow"/>
          <w:lang w:eastAsia="zh-CN"/>
        </w:rPr>
        <w:t>）</w:t>
      </w:r>
      <w:r>
        <w:rPr>
          <w:rFonts w:hint="eastAsia" w:ascii="宋体" w:hAnsi="宋体"/>
          <w:szCs w:val="21"/>
          <w:highlight w:val="yellow"/>
        </w:rPr>
        <w:t>深圳市中医肛肠医院（福田）202</w:t>
      </w:r>
      <w:r>
        <w:rPr>
          <w:rFonts w:hint="eastAsia" w:ascii="宋体" w:hAnsi="宋体"/>
          <w:szCs w:val="21"/>
          <w:highlight w:val="yellow"/>
          <w:lang w:val="en-US" w:eastAsia="zh-CN"/>
        </w:rPr>
        <w:t>5</w:t>
      </w:r>
      <w:r>
        <w:rPr>
          <w:rFonts w:hint="eastAsia" w:ascii="宋体" w:hAnsi="宋体"/>
          <w:szCs w:val="21"/>
          <w:highlight w:val="yellow"/>
        </w:rPr>
        <w:t>年度</w:t>
      </w:r>
      <w:r>
        <w:rPr>
          <w:rFonts w:hint="eastAsia" w:ascii="宋体" w:hAnsi="宋体"/>
          <w:szCs w:val="21"/>
          <w:highlight w:val="yellow"/>
          <w:lang w:val="en-US" w:eastAsia="zh-CN"/>
        </w:rPr>
        <w:t>春节</w:t>
      </w:r>
      <w:r>
        <w:rPr>
          <w:rFonts w:hint="eastAsia" w:ascii="宋体" w:hAnsi="宋体"/>
          <w:szCs w:val="21"/>
          <w:highlight w:val="yellow"/>
        </w:rPr>
        <w:t>工会福利品，投标人提供套餐组合，套餐产品、数量自定</w:t>
      </w:r>
      <w:r>
        <w:rPr>
          <w:rFonts w:hint="eastAsia" w:ascii="宋体" w:hAnsi="宋体"/>
          <w:szCs w:val="21"/>
          <w:highlight w:val="yellow"/>
          <w:lang w:eastAsia="zh-CN"/>
        </w:rPr>
        <w:t>（</w:t>
      </w:r>
      <w:r>
        <w:rPr>
          <w:rFonts w:hint="eastAsia" w:ascii="宋体" w:hAnsi="宋体"/>
          <w:szCs w:val="21"/>
          <w:highlight w:val="yellow"/>
          <w:lang w:val="en-US" w:eastAsia="zh-CN"/>
        </w:rPr>
        <w:t>详见评分表</w:t>
      </w:r>
      <w:bookmarkStart w:id="0" w:name="_GoBack"/>
      <w:bookmarkEnd w:id="0"/>
      <w:r>
        <w:rPr>
          <w:rFonts w:hint="eastAsia" w:ascii="宋体" w:hAnsi="宋体"/>
          <w:szCs w:val="21"/>
          <w:highlight w:val="yellow"/>
          <w:lang w:eastAsia="zh-CN"/>
        </w:rPr>
        <w:t>）</w:t>
      </w:r>
      <w:r>
        <w:rPr>
          <w:rFonts w:hint="eastAsia" w:ascii="宋体" w:hAnsi="宋体"/>
          <w:szCs w:val="21"/>
          <w:highlight w:val="yellow"/>
        </w:rPr>
        <w:t>，套餐产品的合计价值不得低于人民币</w:t>
      </w:r>
      <w:r>
        <w:rPr>
          <w:rFonts w:hint="eastAsia" w:ascii="宋体" w:hAnsi="宋体"/>
          <w:szCs w:val="21"/>
          <w:highlight w:val="yellow"/>
          <w:lang w:val="en-US" w:eastAsia="zh-CN"/>
        </w:rPr>
        <w:t>400</w:t>
      </w:r>
      <w:r>
        <w:rPr>
          <w:rFonts w:hint="eastAsia" w:ascii="宋体" w:hAnsi="宋体"/>
          <w:szCs w:val="21"/>
          <w:highlight w:val="yellow"/>
        </w:rPr>
        <w:t>元，</w:t>
      </w:r>
      <w:r>
        <w:rPr>
          <w:rFonts w:hint="eastAsia" w:ascii="宋体" w:hAnsi="宋体"/>
          <w:szCs w:val="21"/>
          <w:highlight w:val="yellow"/>
          <w:lang w:val="en-US" w:eastAsia="zh-CN"/>
        </w:rPr>
        <w:t>提供投标折扣率，</w:t>
      </w:r>
      <w:r>
        <w:rPr>
          <w:rFonts w:hint="eastAsia" w:ascii="宋体" w:hAnsi="宋体"/>
          <w:szCs w:val="21"/>
          <w:highlight w:val="yellow"/>
        </w:rPr>
        <w:t>支付上限金额为人民币</w:t>
      </w:r>
      <w:r>
        <w:rPr>
          <w:rFonts w:hint="eastAsia" w:ascii="宋体" w:hAnsi="宋体"/>
          <w:szCs w:val="21"/>
          <w:highlight w:val="yellow"/>
          <w:lang w:val="en-US" w:eastAsia="zh-CN"/>
        </w:rPr>
        <w:t>120000.00</w:t>
      </w:r>
      <w:r>
        <w:rPr>
          <w:rFonts w:hint="eastAsia" w:ascii="宋体" w:hAnsi="宋体"/>
          <w:szCs w:val="21"/>
          <w:highlight w:val="yellow"/>
        </w:rPr>
        <w:t>元。</w:t>
      </w:r>
    </w:p>
    <w:p w14:paraId="1C83F308">
      <w:pPr>
        <w:adjustRightInd w:val="0"/>
        <w:snapToGrid w:val="0"/>
        <w:spacing w:line="360" w:lineRule="auto"/>
        <w:ind w:firstLine="418" w:firstLineChars="201"/>
        <w:rPr>
          <w:rFonts w:ascii="宋体" w:hAnsi="宋体"/>
          <w:b/>
          <w:bCs/>
          <w:snapToGrid w:val="0"/>
          <w:kern w:val="0"/>
          <w:szCs w:val="21"/>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668C96FA">
      <w:pPr>
        <w:adjustRightInd w:val="0"/>
        <w:snapToGrid w:val="0"/>
        <w:spacing w:line="360" w:lineRule="auto"/>
        <w:ind w:firstLine="418" w:firstLineChars="201"/>
        <w:rPr>
          <w:rFonts w:ascii="宋体" w:hAnsi="宋体"/>
          <w:bCs/>
          <w:snapToGrid w:val="0"/>
          <w:kern w:val="0"/>
          <w:szCs w:val="21"/>
        </w:rPr>
      </w:pPr>
      <w:r>
        <w:rPr>
          <w:rFonts w:hint="eastAsia" w:ascii="宋体" w:hAnsi="宋体"/>
          <w:bCs/>
          <w:snapToGrid w:val="0"/>
          <w:kern w:val="0"/>
          <w:szCs w:val="21"/>
          <w:lang w:val="en-US" w:eastAsia="zh-CN"/>
        </w:rPr>
        <w:t>3.</w:t>
      </w:r>
      <w:r>
        <w:rPr>
          <w:rFonts w:hint="eastAsia" w:ascii="宋体" w:hAnsi="宋体"/>
          <w:bCs/>
          <w:snapToGrid w:val="0"/>
          <w:kern w:val="0"/>
          <w:szCs w:val="21"/>
        </w:rPr>
        <w:t xml:space="preserve">备注栏注明“拒绝进口”的产品不接受投标人选用进口产品参与投标；注明“接受进口”的产品允许投标人选用进口产品参与投标，但不排斥国内产品。 </w:t>
      </w:r>
    </w:p>
    <w:p w14:paraId="391CA4FB">
      <w:pPr>
        <w:adjustRightInd w:val="0"/>
        <w:snapToGrid w:val="0"/>
        <w:spacing w:line="360" w:lineRule="auto"/>
        <w:ind w:firstLine="418" w:firstLineChars="201"/>
        <w:rPr>
          <w:rFonts w:hint="eastAsia" w:ascii="宋体" w:hAnsi="宋体"/>
          <w:bCs/>
          <w:snapToGrid w:val="0"/>
          <w:kern w:val="0"/>
          <w:szCs w:val="21"/>
        </w:rPr>
      </w:pPr>
      <w:r>
        <w:rPr>
          <w:rFonts w:hint="eastAsia" w:ascii="宋体" w:hAnsi="宋体"/>
          <w:bCs/>
          <w:snapToGrid w:val="0"/>
          <w:kern w:val="0"/>
          <w:szCs w:val="21"/>
          <w:lang w:val="en-US" w:eastAsia="zh-CN"/>
        </w:rPr>
        <w:t>4.</w:t>
      </w:r>
      <w:r>
        <w:rPr>
          <w:rFonts w:hint="eastAsia" w:ascii="宋体" w:hAnsi="宋体"/>
          <w:bCs/>
          <w:snapToGrid w:val="0"/>
          <w:kern w:val="0"/>
          <w:szCs w:val="21"/>
        </w:rPr>
        <w:t>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397415F7">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ascii="宋体" w:hAnsi="宋体"/>
          <w:bCs/>
          <w:snapToGrid w:val="0"/>
          <w:kern w:val="0"/>
          <w:szCs w:val="21"/>
          <w:lang w:val="en-US" w:eastAsia="zh-CN"/>
        </w:rPr>
      </w:pPr>
      <w:r>
        <w:rPr>
          <w:rFonts w:hint="eastAsia" w:ascii="宋体" w:hAnsi="宋体"/>
          <w:bCs/>
          <w:snapToGrid w:val="0"/>
          <w:kern w:val="0"/>
          <w:szCs w:val="21"/>
          <w:lang w:val="en-US" w:eastAsia="zh-CN"/>
        </w:rPr>
        <w:t>二、技术要求</w:t>
      </w:r>
    </w:p>
    <w:p w14:paraId="561FBC10">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1.投标供应商供货方式：中标供应商需保证提供免费送货上门服务。</w:t>
      </w:r>
    </w:p>
    <w:p w14:paraId="07795F4D">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根据《广东省基层工会经费收支管理实施细则（试行）》（粤工总﹝2018﹞5号）规定，中标供应商提供的节日慰问品包含：符合中国传统节日习惯的用品和职工群众必需的生活用品等，如米、面、油、肉、蛋、奶、水果、干果等。</w:t>
      </w:r>
    </w:p>
    <w:p w14:paraId="78F539FA">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lang w:val="en-US" w:eastAsia="zh-CN"/>
        </w:rPr>
        <w:t>3.</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本次招标由投标商家提供</w:t>
      </w:r>
      <w:r>
        <w:rPr>
          <w:rFonts w:hint="eastAsia" w:cs="Times New Roman" w:asciiTheme="minorEastAsia" w:hAnsiTheme="minorEastAsia"/>
          <w:kern w:val="0"/>
          <w:szCs w:val="21"/>
          <w:highlight w:val="yellow"/>
          <w:lang w:val="en-US" w:eastAsia="zh-CN"/>
        </w:rPr>
        <w:t>春节</w:t>
      </w:r>
      <w:r>
        <w:rPr>
          <w:rFonts w:hint="eastAsia" w:cs="Times New Roman" w:asciiTheme="minorEastAsia" w:hAnsiTheme="minorEastAsia" w:eastAsiaTheme="minorEastAsia"/>
          <w:kern w:val="0"/>
          <w:szCs w:val="21"/>
          <w:highlight w:val="yellow"/>
          <w:lang w:val="en-US" w:eastAsia="zh-CN"/>
        </w:rPr>
        <w:t>商品套餐方案，要求符合广东省工会节日慰问品要求，并符合医院员工的实际需求，投标商家所提供产品满足线上</w:t>
      </w:r>
      <w:r>
        <w:rPr>
          <w:rFonts w:hint="eastAsia" w:cs="Times New Roman" w:asciiTheme="minorEastAsia" w:hAnsiTheme="minorEastAsia"/>
          <w:kern w:val="0"/>
          <w:szCs w:val="21"/>
          <w:highlight w:val="yellow"/>
          <w:lang w:val="en-US" w:eastAsia="zh-CN"/>
        </w:rPr>
        <w:t>或</w:t>
      </w:r>
      <w:r>
        <w:rPr>
          <w:rFonts w:hint="eastAsia" w:cs="Times New Roman" w:asciiTheme="minorEastAsia" w:hAnsiTheme="minorEastAsia" w:eastAsiaTheme="minorEastAsia"/>
          <w:kern w:val="0"/>
          <w:szCs w:val="21"/>
          <w:highlight w:val="yellow"/>
          <w:lang w:val="en-US" w:eastAsia="zh-CN"/>
        </w:rPr>
        <w:t>线下实体店两种方式兑换。</w:t>
      </w:r>
    </w:p>
    <w:p w14:paraId="61188EE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服务期限：商场自医院提供相应节日会员资料开始提供服务，到节日之后2个月止。</w:t>
      </w:r>
    </w:p>
    <w:p w14:paraId="0879C26B">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5</w:t>
      </w:r>
      <w:r>
        <w:rPr>
          <w:rFonts w:hint="eastAsia" w:cs="Times New Roman" w:asciiTheme="minorEastAsia" w:hAnsiTheme="minorEastAsia" w:eastAsiaTheme="minorEastAsia"/>
          <w:kern w:val="0"/>
          <w:szCs w:val="21"/>
          <w:lang w:val="en-US" w:eastAsia="zh-CN"/>
        </w:rPr>
        <w:t>.服务期内，中标供应商需向会员推送不少于三次信息提醒，以避免会员忘记采购慰问品。</w:t>
      </w:r>
    </w:p>
    <w:p w14:paraId="4AF3A184">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6</w:t>
      </w:r>
      <w:r>
        <w:rPr>
          <w:rFonts w:hint="eastAsia" w:cs="Times New Roman" w:asciiTheme="minorEastAsia" w:hAnsiTheme="minorEastAsia" w:eastAsiaTheme="minorEastAsia"/>
          <w:kern w:val="0"/>
          <w:szCs w:val="21"/>
          <w:lang w:val="en-US" w:eastAsia="zh-CN"/>
        </w:rPr>
        <w:t>.医院有其他部门采购需求时，在数量不超过10%的情况下，中标供应商需按本次招标要求提供一致的服务。</w:t>
      </w:r>
    </w:p>
    <w:p w14:paraId="15E2E6D1">
      <w:pPr>
        <w:spacing w:line="360" w:lineRule="auto"/>
        <w:rPr>
          <w:rFonts w:ascii="宋体" w:hAnsi="宋体"/>
          <w:b/>
          <w:bCs/>
          <w:snapToGrid w:val="0"/>
          <w:kern w:val="0"/>
          <w:sz w:val="24"/>
        </w:rPr>
      </w:pPr>
      <w:r>
        <w:rPr>
          <w:rFonts w:hint="eastAsia" w:ascii="宋体" w:hAnsi="宋体"/>
          <w:b/>
          <w:bCs/>
          <w:snapToGrid w:val="0"/>
          <w:kern w:val="0"/>
          <w:sz w:val="24"/>
        </w:rPr>
        <w:t>三、商务要求</w:t>
      </w:r>
    </w:p>
    <w:p w14:paraId="1EBE25C6">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1.中标人所提供货物应来源于正规、合格渠道，全新的，符合中华人民共和国国家质量及国家安全环保标准和其它适用的国家、行业、地方标准。</w:t>
      </w:r>
    </w:p>
    <w:p w14:paraId="5E385304">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2.提供的产品通过国家法定机构检验检测，达到行业标准的合格产品，国家及行业有关质量标准。</w:t>
      </w:r>
    </w:p>
    <w:p w14:paraId="1741CB44">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3.中标人提供的产品必须是全新的，未开封，表面无划损、无任何缺陷。</w:t>
      </w:r>
    </w:p>
    <w:p w14:paraId="0C19174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eastAsia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所有提供的产品必须满足国家相关法规要求。食品类产品必须具备生产许可标志并通过相关检测监测部门备案。其他产品必须是合格产品。</w:t>
      </w:r>
      <w:r>
        <w:rPr>
          <w:rFonts w:hint="eastAsia" w:cs="Times New Roman" w:asciiTheme="minorEastAsia" w:hAnsiTheme="minorEastAsia" w:eastAsiaTheme="minorEastAsia"/>
          <w:color w:val="FF0000"/>
          <w:kern w:val="0"/>
          <w:szCs w:val="21"/>
          <w:highlight w:val="yellow"/>
          <w:lang w:val="en-US" w:eastAsia="zh-CN"/>
        </w:rPr>
        <w:t>食品类产品保质期从发放之日起计须不低于剩余保质期的三分之二</w:t>
      </w:r>
      <w:r>
        <w:rPr>
          <w:rFonts w:hint="eastAsia" w:cs="Times New Roman" w:asciiTheme="minorEastAsia" w:hAnsiTheme="minorEastAsia" w:eastAsiaTheme="minorEastAsia"/>
          <w:kern w:val="0"/>
          <w:szCs w:val="21"/>
          <w:highlight w:val="yellow"/>
          <w:lang w:val="en-US" w:eastAsia="zh-CN"/>
        </w:rPr>
        <w:t>。</w:t>
      </w:r>
    </w:p>
    <w:p w14:paraId="24E8D2D5">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5.若因有效期内产品质量问题导致食用后出现身体不适等情形，由中标人承担一切法律责任和经济赔偿责任,因此导致采购人损失的，中标人应予以赔偿，采购人保留追究刑事责任权利。</w:t>
      </w:r>
    </w:p>
    <w:p w14:paraId="05ED047C">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6.如采购人发现中标公司配送的商品在一定时间内（开标之日起至中标结果公告期满为止）的自身商场售价低于其投标所报零售价的，采购方有权解除合同且投标人三年内不得参加采购人的招标项目。</w:t>
      </w:r>
    </w:p>
    <w:p w14:paraId="03C0A7E7">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p>
    <w:p w14:paraId="7284C98E">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eastAsiaTheme="minorEastAsia"/>
          <w:kern w:val="0"/>
          <w:szCs w:val="21"/>
          <w:highlight w:val="yellow"/>
          <w:lang w:val="en-US" w:eastAsia="zh-CN"/>
        </w:rPr>
      </w:pPr>
    </w:p>
    <w:p w14:paraId="5BE88DFA">
      <w:pPr>
        <w:widowControl/>
        <w:snapToGrid w:val="0"/>
        <w:spacing w:line="360" w:lineRule="auto"/>
        <w:ind w:left="2" w:firstLine="416" w:firstLineChars="200"/>
        <w:jc w:val="left"/>
        <w:rPr>
          <w:rFonts w:hint="eastAsia" w:ascii="宋体" w:hAnsi="宋体"/>
          <w:bCs/>
          <w:snapToGrid w:val="0"/>
          <w:kern w:val="0"/>
          <w:szCs w:val="21"/>
        </w:rPr>
      </w:pPr>
    </w:p>
    <w:p w14:paraId="3CF98B23">
      <w:pPr>
        <w:pStyle w:val="2"/>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51F5BA2A-CB9B-4A18-8885-38EB8B7E162D}"/>
  </w:font>
  <w:font w:name="方正小标宋_GBK">
    <w:panose1 w:val="02000000000000000000"/>
    <w:charset w:val="86"/>
    <w:family w:val="auto"/>
    <w:pitch w:val="default"/>
    <w:sig w:usb0="A00002BF" w:usb1="38CF7CFA" w:usb2="00082016" w:usb3="00000000" w:csb0="00040001" w:csb1="00000000"/>
    <w:embedRegular r:id="rId2" w:fontKey="{D45CB2D2-E066-4162-B0ED-C8593569924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TlhMWJkYjVmZGViY2M0NWIyY2FhOTVkOTIwMzEifQ=="/>
  </w:docVars>
  <w:rsids>
    <w:rsidRoot w:val="1E8A2779"/>
    <w:rsid w:val="07304ED7"/>
    <w:rsid w:val="0B4E3E19"/>
    <w:rsid w:val="0C5C3843"/>
    <w:rsid w:val="134050E0"/>
    <w:rsid w:val="1E8A2779"/>
    <w:rsid w:val="303235D3"/>
    <w:rsid w:val="39BF540B"/>
    <w:rsid w:val="46817CDB"/>
    <w:rsid w:val="4F7E1357"/>
    <w:rsid w:val="555312B0"/>
    <w:rsid w:val="5A080320"/>
    <w:rsid w:val="716E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styleId="5">
    <w:name w:val="annotation reference"/>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1470</Words>
  <Characters>1534</Characters>
  <Lines>0</Lines>
  <Paragraphs>0</Paragraphs>
  <TotalTime>47</TotalTime>
  <ScaleCrop>false</ScaleCrop>
  <LinksUpToDate>false</LinksUpToDate>
  <CharactersWithSpaces>1535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2024-01-23T08:58:00Z</dcterms:created>
  <dc:creator>scott</dc:creator>
  <cp:lastModifiedBy>scott</cp:lastModifiedBy>
  <dcterms:modified xsi:type="dcterms:W3CDTF">2024-12-31T00:54:59Z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377DB866980E45CC83AA9CDBE557AF8F_13</vt:lpwstr>
  </property>
  <property fmtid="{D5CDD505-2E9C-101B-9397-08002B2CF9AE}" pid="4" name="KSOTemplateDocerSaveRecord">
    <vt:lpwstr>eyJoZGlkIjoiOGM2ZGVjNDUxNTkxYTMyZjlkZjk1YWZmZmMyMDAwMjUiLCJ1c2VySWQiOiIyNDg0MjA5MjAifQ==</vt:lpwstr>
  </property>
</Properties>
</file>