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E8913">
      <w:pPr>
        <w:spacing w:line="640" w:lineRule="exact"/>
        <w:jc w:val="center"/>
        <w:rPr>
          <w:rFonts w:ascii="方正小标宋简体" w:hAnsi="Times New Roman" w:eastAsia="方正小标宋简体" w:cs="Times New Roman"/>
          <w:b w:val="0"/>
          <w:bCs w:val="0"/>
          <w:sz w:val="44"/>
          <w:szCs w:val="44"/>
        </w:rPr>
      </w:pPr>
      <w:r>
        <w:rPr>
          <w:rFonts w:hint="eastAsia" w:ascii="方正小标宋简体" w:hAnsi="Times New Roman" w:eastAsia="方正小标宋简体" w:cs="Times New Roman"/>
          <w:b w:val="0"/>
          <w:bCs w:val="0"/>
          <w:sz w:val="44"/>
          <w:szCs w:val="44"/>
          <w:lang w:val="en-US" w:eastAsia="zh-CN"/>
        </w:rPr>
        <w:t>深圳市中医肛肠医院</w:t>
      </w:r>
      <w:r>
        <w:rPr>
          <w:rFonts w:hint="eastAsia" w:ascii="方正小标宋简体" w:hAnsi="Times New Roman" w:eastAsia="方正小标宋简体" w:cs="Times New Roman"/>
          <w:b w:val="0"/>
          <w:bCs w:val="0"/>
          <w:sz w:val="44"/>
          <w:szCs w:val="44"/>
          <w:lang w:val="en-US" w:eastAsia="zh-CN"/>
        </w:rPr>
        <w:t>安全技术综合</w:t>
      </w:r>
      <w:r>
        <w:rPr>
          <w:rFonts w:hint="eastAsia" w:ascii="方正小标宋简体" w:hAnsi="Times New Roman" w:eastAsia="方正小标宋简体" w:cs="Times New Roman"/>
          <w:b w:val="0"/>
          <w:bCs w:val="0"/>
          <w:sz w:val="44"/>
          <w:szCs w:val="44"/>
        </w:rPr>
        <w:t>服务</w:t>
      </w:r>
      <w:r>
        <w:rPr>
          <w:rFonts w:hint="eastAsia" w:ascii="方正小标宋简体" w:hAnsi="Times New Roman" w:eastAsia="方正小标宋简体" w:cs="Times New Roman"/>
          <w:b w:val="0"/>
          <w:bCs w:val="0"/>
          <w:sz w:val="44"/>
          <w:szCs w:val="44"/>
          <w:lang w:val="en-US" w:eastAsia="zh-CN"/>
        </w:rPr>
        <w:t>采购</w:t>
      </w:r>
      <w:r>
        <w:rPr>
          <w:rFonts w:hint="eastAsia" w:ascii="方正小标宋简体" w:hAnsi="Times New Roman" w:eastAsia="方正小标宋简体" w:cs="Times New Roman"/>
          <w:b w:val="0"/>
          <w:bCs w:val="0"/>
          <w:sz w:val="44"/>
          <w:szCs w:val="44"/>
        </w:rPr>
        <w:t>需求</w:t>
      </w:r>
    </w:p>
    <w:p w14:paraId="1B606FF2">
      <w:pPr>
        <w:spacing w:line="540" w:lineRule="exact"/>
        <w:ind w:firstLine="360" w:firstLineChars="100"/>
        <w:jc w:val="center"/>
        <w:rPr>
          <w:rFonts w:ascii="方正小标宋简体" w:hAnsi="方正小标宋简体" w:eastAsia="方正小标宋简体" w:cs="方正小标宋简体"/>
          <w:sz w:val="36"/>
          <w:szCs w:val="36"/>
        </w:rPr>
      </w:pPr>
    </w:p>
    <w:p w14:paraId="3A4FB53A">
      <w:pPr>
        <w:spacing w:line="360" w:lineRule="auto"/>
        <w:ind w:firstLine="321" w:firstLineChars="100"/>
        <w:jc w:val="center"/>
        <w:rPr>
          <w:rFonts w:ascii="仿宋" w:hAnsi="仿宋" w:eastAsia="仿宋" w:cs="仿宋"/>
          <w:b/>
          <w:bCs/>
          <w:sz w:val="32"/>
          <w:szCs w:val="32"/>
        </w:rPr>
      </w:pPr>
      <w:r>
        <w:rPr>
          <w:rFonts w:hint="eastAsia" w:ascii="仿宋" w:hAnsi="仿宋" w:eastAsia="仿宋" w:cs="仿宋"/>
          <w:b/>
          <w:bCs/>
          <w:sz w:val="32"/>
          <w:szCs w:val="32"/>
        </w:rPr>
        <w:t>第一部分 项目基本要求</w:t>
      </w:r>
    </w:p>
    <w:p w14:paraId="5E975D26">
      <w:pPr>
        <w:numPr>
          <w:ilvl w:val="0"/>
          <w:numId w:val="1"/>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采购项目名称：</w:t>
      </w:r>
      <w:r>
        <w:rPr>
          <w:rFonts w:hint="eastAsia" w:ascii="仿宋" w:hAnsi="仿宋" w:eastAsia="仿宋" w:cs="仿宋"/>
          <w:sz w:val="32"/>
          <w:szCs w:val="32"/>
          <w:lang w:val="en-US" w:eastAsia="zh-CN"/>
        </w:rPr>
        <w:t>安全技术综合服务</w:t>
      </w:r>
    </w:p>
    <w:p w14:paraId="695B5E5B">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default"/>
          <w:lang w:val="en-US"/>
        </w:rPr>
      </w:pPr>
      <w:r>
        <w:rPr>
          <w:rFonts w:hint="eastAsia" w:ascii="仿宋" w:hAnsi="仿宋" w:eastAsia="仿宋" w:cs="仿宋"/>
          <w:sz w:val="32"/>
          <w:szCs w:val="32"/>
          <w:lang w:val="en-US" w:eastAsia="zh-CN"/>
        </w:rPr>
        <w:t>项目概况项目概况：推动我院医疗系统安全生产工作落实，实现安全生产工作制度化、规范化、有效性，决定采取政府购买服务模式，委托第三方专业机构及技术人员对我院开展为期1年的安全生产常规性检查和临时性重点专项检查，并为单位提供相关专业技术服务，推动区域安全生产总体提升。</w:t>
      </w:r>
    </w:p>
    <w:p w14:paraId="0341BE8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pPr>
      <w:r>
        <w:rPr>
          <w:rFonts w:hint="eastAsia" w:ascii="仿宋" w:hAnsi="仿宋" w:eastAsia="仿宋" w:cs="仿宋"/>
          <w:sz w:val="32"/>
          <w:szCs w:val="32"/>
        </w:rPr>
        <w:t>项目采购预算：</w:t>
      </w:r>
      <w:r>
        <w:rPr>
          <w:rFonts w:hint="eastAsia" w:ascii="仿宋" w:hAnsi="仿宋" w:eastAsia="仿宋" w:cs="仿宋"/>
          <w:sz w:val="32"/>
          <w:szCs w:val="32"/>
          <w:highlight w:val="yellow"/>
        </w:rPr>
        <w:t>人民币</w:t>
      </w:r>
      <w:r>
        <w:rPr>
          <w:rFonts w:hint="eastAsia" w:ascii="仿宋" w:hAnsi="仿宋" w:eastAsia="仿宋" w:cs="仿宋"/>
          <w:sz w:val="32"/>
          <w:szCs w:val="32"/>
          <w:highlight w:val="yellow"/>
          <w:lang w:val="en-US" w:eastAsia="zh-CN"/>
        </w:rPr>
        <w:t xml:space="preserve"> 9.5</w:t>
      </w:r>
      <w:r>
        <w:rPr>
          <w:rFonts w:hint="eastAsia" w:ascii="仿宋" w:hAnsi="仿宋" w:eastAsia="仿宋" w:cs="仿宋"/>
          <w:color w:val="000000" w:themeColor="text1"/>
          <w:sz w:val="32"/>
          <w:szCs w:val="32"/>
          <w:highlight w:val="yellow"/>
          <w14:textFill>
            <w14:solidFill>
              <w14:schemeClr w14:val="tx1"/>
            </w14:solidFill>
          </w14:textFill>
        </w:rPr>
        <w:t>万元/年</w:t>
      </w:r>
      <w:r>
        <w:rPr>
          <w:rFonts w:hint="eastAsia" w:ascii="仿宋" w:hAnsi="仿宋" w:eastAsia="仿宋" w:cs="仿宋"/>
          <w:sz w:val="32"/>
          <w:szCs w:val="32"/>
          <w:highlight w:val="yellow"/>
        </w:rPr>
        <w:t>。</w:t>
      </w:r>
    </w:p>
    <w:p w14:paraId="08A78741">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sz w:val="32"/>
          <w:szCs w:val="32"/>
          <w:lang w:val="en-US" w:eastAsia="zh-CN"/>
        </w:rPr>
        <w:t>付款要求：</w:t>
      </w:r>
      <w:r>
        <w:rPr>
          <w:rFonts w:hint="eastAsia" w:ascii="仿宋" w:hAnsi="仿宋" w:eastAsia="仿宋" w:cs="仿宋"/>
          <w:color w:val="auto"/>
          <w:sz w:val="32"/>
          <w:szCs w:val="32"/>
        </w:rPr>
        <w:t>服务费在合同签订后分二次支付给乙方。</w:t>
      </w:r>
    </w:p>
    <w:p w14:paraId="40430119">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（1）合同签订服务期满半年后，乙方完成服务范围内活动事项，服务事项具体详见费用清单，甲方验收后由乙方提供甲方审计复核签字的有效收费明细及出具发票，按</w:t>
      </w:r>
      <w:r>
        <w:rPr>
          <w:rFonts w:hint="eastAsia" w:ascii="仿宋" w:hAnsi="仿宋" w:eastAsia="仿宋" w:cs="仿宋"/>
          <w:color w:val="auto"/>
          <w:sz w:val="32"/>
          <w:szCs w:val="32"/>
          <w:lang w:val="en-US" w:eastAsia="zh-CN"/>
        </w:rPr>
        <w:t>签订合同期起</w:t>
      </w:r>
      <w:r>
        <w:rPr>
          <w:rFonts w:hint="eastAsia" w:ascii="仿宋" w:hAnsi="仿宋" w:eastAsia="仿宋" w:cs="仿宋"/>
          <w:color w:val="auto"/>
          <w:sz w:val="32"/>
          <w:szCs w:val="32"/>
        </w:rPr>
        <w:t>半年结算</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甲方核实</w:t>
      </w:r>
      <w:r>
        <w:rPr>
          <w:rFonts w:hint="eastAsia" w:ascii="仿宋" w:hAnsi="仿宋" w:eastAsia="仿宋" w:cs="仿宋"/>
          <w:color w:val="auto"/>
          <w:sz w:val="32"/>
          <w:szCs w:val="32"/>
          <w:lang w:val="en-US" w:eastAsia="zh-CN"/>
        </w:rPr>
        <w:t>验收</w:t>
      </w:r>
      <w:r>
        <w:rPr>
          <w:rFonts w:hint="eastAsia" w:ascii="仿宋" w:hAnsi="仿宋" w:eastAsia="仿宋" w:cs="仿宋"/>
          <w:color w:val="auto"/>
          <w:sz w:val="32"/>
          <w:szCs w:val="32"/>
        </w:rPr>
        <w:t>(签收)后以转账方式汇入乙方账户。</w:t>
      </w:r>
    </w:p>
    <w:p w14:paraId="0911838A">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exact"/>
        <w:ind w:firstLine="640" w:firstLineChars="200"/>
        <w:textAlignment w:val="auto"/>
        <w:rPr>
          <w:rFonts w:ascii="仿宋" w:hAnsi="仿宋" w:eastAsia="仿宋" w:cs="仿宋"/>
          <w:sz w:val="32"/>
          <w:szCs w:val="32"/>
        </w:rPr>
      </w:pPr>
      <w:r>
        <w:rPr>
          <w:rFonts w:hint="eastAsia" w:ascii="仿宋" w:hAnsi="仿宋" w:eastAsia="仿宋" w:cs="仿宋"/>
          <w:color w:val="auto"/>
          <w:sz w:val="32"/>
          <w:szCs w:val="32"/>
        </w:rPr>
        <w:t>(2)剩余总合同费用的50%为验收款，于合同期满1年且乙方完成本项目全部工作，并提交相应的检查报告，经甲方验收且审核合格后由乙方提供甲方审计复核签字的有效收费明细及出具发票支付。</w:t>
      </w:r>
    </w:p>
    <w:p w14:paraId="32F8A846">
      <w:pPr>
        <w:numPr>
          <w:ilvl w:val="0"/>
          <w:numId w:val="1"/>
        </w:numPr>
        <w:spacing w:line="360" w:lineRule="auto"/>
        <w:ind w:firstLine="640" w:firstLineChars="200"/>
        <w:rPr>
          <w:rFonts w:ascii="仿宋" w:hAnsi="仿宋" w:eastAsia="仿宋" w:cs="仿宋"/>
          <w:sz w:val="32"/>
          <w:szCs w:val="32"/>
        </w:rPr>
      </w:pPr>
      <w:r>
        <w:rPr>
          <w:rFonts w:hint="eastAsia" w:ascii="仿宋" w:hAnsi="仿宋" w:eastAsia="仿宋" w:cs="仿宋"/>
          <w:sz w:val="32"/>
          <w:szCs w:val="32"/>
        </w:rPr>
        <w:t>项目</w:t>
      </w:r>
      <w:r>
        <w:rPr>
          <w:rFonts w:hint="eastAsia" w:ascii="仿宋" w:hAnsi="仿宋" w:eastAsia="仿宋" w:cs="仿宋"/>
          <w:sz w:val="32"/>
          <w:szCs w:val="32"/>
          <w:lang w:val="en-US" w:eastAsia="zh-CN"/>
        </w:rPr>
        <w:t>采购</w:t>
      </w:r>
      <w:r>
        <w:rPr>
          <w:rFonts w:hint="eastAsia" w:ascii="仿宋" w:hAnsi="仿宋" w:eastAsia="仿宋" w:cs="仿宋"/>
          <w:sz w:val="32"/>
          <w:szCs w:val="32"/>
        </w:rPr>
        <w:t>及交货时间、地点：</w:t>
      </w:r>
    </w:p>
    <w:p w14:paraId="5BA938D2">
      <w:pPr>
        <w:spacing w:line="360" w:lineRule="auto"/>
        <w:ind w:left="560"/>
        <w:rPr>
          <w:rFonts w:ascii="仿宋" w:hAnsi="仿宋" w:eastAsia="仿宋" w:cs="仿宋"/>
          <w:sz w:val="32"/>
          <w:szCs w:val="32"/>
        </w:rPr>
      </w:pPr>
      <w:r>
        <w:rPr>
          <w:rFonts w:hint="eastAsia" w:ascii="仿宋" w:hAnsi="仿宋" w:eastAsia="仿宋" w:cs="仿宋"/>
          <w:sz w:val="32"/>
          <w:szCs w:val="32"/>
        </w:rPr>
        <w:t>1.项目</w:t>
      </w:r>
      <w:r>
        <w:rPr>
          <w:rFonts w:hint="eastAsia" w:ascii="仿宋" w:hAnsi="仿宋" w:eastAsia="仿宋" w:cs="仿宋"/>
          <w:sz w:val="32"/>
          <w:szCs w:val="32"/>
          <w:lang w:val="en-US" w:eastAsia="zh-CN"/>
        </w:rPr>
        <w:t>采购</w:t>
      </w:r>
      <w:r>
        <w:rPr>
          <w:rFonts w:hint="eastAsia" w:ascii="仿宋" w:hAnsi="仿宋" w:eastAsia="仿宋" w:cs="仿宋"/>
          <w:sz w:val="32"/>
          <w:szCs w:val="32"/>
        </w:rPr>
        <w:t>及采购限价</w:t>
      </w:r>
    </w:p>
    <w:tbl>
      <w:tblPr>
        <w:tblStyle w:val="6"/>
        <w:tblW w:w="79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40"/>
        <w:gridCol w:w="1646"/>
        <w:gridCol w:w="2683"/>
      </w:tblGrid>
      <w:tr w14:paraId="7897E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0" w:type="dxa"/>
            <w:vAlign w:val="center"/>
          </w:tcPr>
          <w:p w14:paraId="5878DA16">
            <w:pPr>
              <w:spacing w:line="360" w:lineRule="auto"/>
              <w:jc w:val="center"/>
              <w:rPr>
                <w:rFonts w:ascii="仿宋" w:hAnsi="仿宋" w:eastAsia="仿宋" w:cs="仿宋"/>
                <w:b/>
                <w:bCs/>
                <w:sz w:val="32"/>
                <w:szCs w:val="32"/>
              </w:rPr>
            </w:pPr>
            <w:r>
              <w:rPr>
                <w:rFonts w:hint="eastAsia" w:ascii="仿宋" w:hAnsi="仿宋" w:eastAsia="仿宋" w:cs="仿宋"/>
                <w:b/>
                <w:bCs/>
                <w:sz w:val="32"/>
                <w:szCs w:val="32"/>
                <w:lang w:val="en-US" w:eastAsia="zh-CN"/>
              </w:rPr>
              <w:t>采购</w:t>
            </w:r>
            <w:r>
              <w:rPr>
                <w:rFonts w:hint="eastAsia" w:ascii="仿宋" w:hAnsi="仿宋" w:eastAsia="仿宋" w:cs="仿宋"/>
                <w:b/>
                <w:bCs/>
                <w:sz w:val="32"/>
                <w:szCs w:val="32"/>
              </w:rPr>
              <w:t>的名称</w:t>
            </w:r>
          </w:p>
        </w:tc>
        <w:tc>
          <w:tcPr>
            <w:tcW w:w="1646" w:type="dxa"/>
            <w:vAlign w:val="center"/>
          </w:tcPr>
          <w:p w14:paraId="2CF9E13D">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单位</w:t>
            </w:r>
          </w:p>
        </w:tc>
        <w:tc>
          <w:tcPr>
            <w:tcW w:w="2683" w:type="dxa"/>
            <w:vAlign w:val="center"/>
          </w:tcPr>
          <w:p w14:paraId="692417E8">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最高限价</w:t>
            </w:r>
          </w:p>
        </w:tc>
      </w:tr>
      <w:tr w14:paraId="663EC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0" w:type="dxa"/>
            <w:vAlign w:val="center"/>
          </w:tcPr>
          <w:p w14:paraId="03A4A5F7">
            <w:pPr>
              <w:spacing w:line="360" w:lineRule="auto"/>
              <w:jc w:val="center"/>
              <w:rPr>
                <w:rFonts w:ascii="仿宋" w:hAnsi="仿宋" w:eastAsia="仿宋" w:cs="仿宋"/>
                <w:sz w:val="32"/>
                <w:szCs w:val="32"/>
              </w:rPr>
            </w:pPr>
            <w:r>
              <w:rPr>
                <w:rFonts w:hint="eastAsia" w:ascii="仿宋" w:hAnsi="仿宋" w:eastAsia="仿宋" w:cs="仿宋"/>
                <w:sz w:val="32"/>
                <w:szCs w:val="32"/>
                <w:lang w:val="en-US" w:eastAsia="zh-CN"/>
              </w:rPr>
              <w:t>安全技术综合服务</w:t>
            </w:r>
          </w:p>
        </w:tc>
        <w:tc>
          <w:tcPr>
            <w:tcW w:w="1646" w:type="dxa"/>
            <w:vAlign w:val="center"/>
          </w:tcPr>
          <w:p w14:paraId="345443BB">
            <w:pPr>
              <w:spacing w:line="360" w:lineRule="auto"/>
              <w:jc w:val="center"/>
              <w:rPr>
                <w:rFonts w:ascii="仿宋" w:hAnsi="仿宋" w:eastAsia="仿宋" w:cs="仿宋"/>
                <w:sz w:val="32"/>
                <w:szCs w:val="32"/>
              </w:rPr>
            </w:pPr>
            <w:r>
              <w:rPr>
                <w:rFonts w:hint="eastAsia" w:ascii="仿宋" w:hAnsi="仿宋" w:eastAsia="仿宋" w:cs="仿宋"/>
                <w:sz w:val="32"/>
                <w:szCs w:val="32"/>
              </w:rPr>
              <w:t>每年</w:t>
            </w:r>
          </w:p>
        </w:tc>
        <w:tc>
          <w:tcPr>
            <w:tcW w:w="2683" w:type="dxa"/>
            <w:vAlign w:val="center"/>
          </w:tcPr>
          <w:p w14:paraId="06DEE8A9">
            <w:pPr>
              <w:spacing w:line="360" w:lineRule="auto"/>
              <w:jc w:val="center"/>
              <w:rPr>
                <w:rFonts w:ascii="仿宋" w:hAnsi="仿宋" w:eastAsia="仿宋" w:cs="仿宋"/>
                <w:sz w:val="32"/>
                <w:szCs w:val="32"/>
              </w:rPr>
            </w:pPr>
            <w:r>
              <w:rPr>
                <w:rFonts w:hint="eastAsia" w:ascii="仿宋" w:hAnsi="仿宋" w:eastAsia="仿宋" w:cs="仿宋"/>
                <w:sz w:val="32"/>
                <w:szCs w:val="32"/>
                <w:highlight w:val="yellow"/>
                <w:lang w:val="en-US" w:eastAsia="zh-CN"/>
              </w:rPr>
              <w:t>9.5</w:t>
            </w:r>
            <w:r>
              <w:rPr>
                <w:rFonts w:hint="eastAsia" w:ascii="仿宋" w:hAnsi="仿宋" w:eastAsia="仿宋" w:cs="仿宋"/>
                <w:sz w:val="32"/>
                <w:szCs w:val="32"/>
                <w:highlight w:val="yellow"/>
              </w:rPr>
              <w:t>万元</w:t>
            </w:r>
          </w:p>
        </w:tc>
      </w:tr>
    </w:tbl>
    <w:p w14:paraId="70C4990D">
      <w:pPr>
        <w:spacing w:line="360" w:lineRule="auto"/>
        <w:ind w:left="560"/>
        <w:rPr>
          <w:rFonts w:hint="eastAsia" w:ascii="仿宋" w:hAnsi="仿宋" w:eastAsia="仿宋" w:cs="仿宋"/>
          <w:sz w:val="32"/>
          <w:szCs w:val="32"/>
          <w:lang w:eastAsia="zh-CN"/>
        </w:rPr>
      </w:pPr>
      <w:r>
        <w:rPr>
          <w:rFonts w:hint="eastAsia" w:ascii="仿宋" w:hAnsi="仿宋" w:eastAsia="仿宋" w:cs="仿宋"/>
          <w:sz w:val="32"/>
          <w:szCs w:val="32"/>
        </w:rPr>
        <w:t>2.完成时间：自合同签订之日起一年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合同到期后，考核合格且资金预算到位的情况下，可续签合同，合同一年一签，续签不超过2年。</w:t>
      </w:r>
    </w:p>
    <w:p w14:paraId="342E36E3">
      <w:pPr>
        <w:spacing w:line="360" w:lineRule="auto"/>
        <w:ind w:left="560"/>
        <w:rPr>
          <w:rFonts w:ascii="仿宋" w:hAnsi="仿宋" w:eastAsia="仿宋" w:cs="仿宋"/>
          <w:sz w:val="32"/>
          <w:szCs w:val="32"/>
        </w:rPr>
      </w:pPr>
      <w:r>
        <w:rPr>
          <w:rFonts w:hint="eastAsia" w:ascii="仿宋" w:hAnsi="仿宋" w:eastAsia="仿宋" w:cs="仿宋"/>
          <w:sz w:val="32"/>
          <w:szCs w:val="32"/>
        </w:rPr>
        <w:t>3.服务地点：采购人指定地点</w:t>
      </w:r>
      <w:r>
        <w:rPr>
          <w:rFonts w:hint="eastAsia" w:ascii="仿宋" w:hAnsi="仿宋" w:eastAsia="仿宋" w:cs="仿宋"/>
          <w:sz w:val="32"/>
          <w:szCs w:val="32"/>
          <w:lang w:eastAsia="zh-CN"/>
        </w:rPr>
        <w:t>（</w:t>
      </w:r>
      <w:r>
        <w:rPr>
          <w:rFonts w:hint="eastAsia" w:ascii="仿宋" w:hAnsi="仿宋" w:eastAsia="仿宋" w:cs="仿宋"/>
          <w:sz w:val="32"/>
          <w:szCs w:val="32"/>
          <w:highlight w:val="yellow"/>
          <w:lang w:val="en-US" w:eastAsia="zh-CN"/>
        </w:rPr>
        <w:t>深圳市中医肛肠医院上梅林梅坳一路院区及松岭路院区</w:t>
      </w:r>
      <w:r>
        <w:rPr>
          <w:rFonts w:hint="eastAsia" w:ascii="仿宋" w:hAnsi="仿宋" w:eastAsia="仿宋" w:cs="仿宋"/>
          <w:sz w:val="32"/>
          <w:szCs w:val="32"/>
          <w:highlight w:val="yellow"/>
          <w:lang w:eastAsia="zh-CN"/>
        </w:rPr>
        <w:t>）</w:t>
      </w:r>
      <w:r>
        <w:rPr>
          <w:rFonts w:hint="eastAsia" w:ascii="仿宋" w:hAnsi="仿宋" w:eastAsia="仿宋" w:cs="仿宋"/>
          <w:sz w:val="32"/>
          <w:szCs w:val="32"/>
        </w:rPr>
        <w:t>。</w:t>
      </w:r>
    </w:p>
    <w:p w14:paraId="0FABADAA">
      <w:pPr>
        <w:numPr>
          <w:ilvl w:val="0"/>
          <w:numId w:val="1"/>
        </w:numPr>
        <w:spacing w:line="360" w:lineRule="auto"/>
        <w:ind w:firstLine="640" w:firstLineChars="200"/>
        <w:rPr>
          <w:rFonts w:ascii="仿宋" w:hAnsi="仿宋" w:eastAsia="仿宋" w:cs="仿宋"/>
          <w:sz w:val="32"/>
          <w:szCs w:val="32"/>
          <w:highlight w:val="yellow"/>
        </w:rPr>
      </w:pPr>
      <w:r>
        <w:rPr>
          <w:rFonts w:hint="eastAsia" w:ascii="仿宋" w:hAnsi="仿宋" w:eastAsia="仿宋" w:cs="仿宋"/>
          <w:sz w:val="32"/>
          <w:szCs w:val="32"/>
          <w:highlight w:val="yellow"/>
          <w:lang w:val="en-US" w:eastAsia="zh-CN"/>
        </w:rPr>
        <w:t>供应商</w:t>
      </w:r>
      <w:r>
        <w:rPr>
          <w:rFonts w:hint="eastAsia" w:ascii="仿宋" w:hAnsi="仿宋" w:eastAsia="仿宋" w:cs="仿宋"/>
          <w:sz w:val="32"/>
          <w:szCs w:val="32"/>
          <w:highlight w:val="yellow"/>
        </w:rPr>
        <w:t>资格要求：</w:t>
      </w:r>
    </w:p>
    <w:p w14:paraId="20F561A3">
      <w:pPr>
        <w:numPr>
          <w:ilvl w:val="0"/>
          <w:numId w:val="2"/>
        </w:numPr>
        <w:spacing w:line="360" w:lineRule="auto"/>
        <w:ind w:firstLine="640" w:firstLineChars="200"/>
        <w:rPr>
          <w:rFonts w:ascii="仿宋" w:hAnsi="仿宋" w:eastAsia="仿宋" w:cs="仿宋"/>
          <w:sz w:val="32"/>
          <w:szCs w:val="32"/>
          <w:highlight w:val="yellow"/>
        </w:rPr>
      </w:pPr>
      <w:bookmarkStart w:id="0" w:name="_GoBack"/>
      <w:r>
        <w:rPr>
          <w:rFonts w:hint="eastAsia" w:ascii="仿宋" w:hAnsi="仿宋" w:eastAsia="仿宋" w:cs="仿宋"/>
          <w:sz w:val="32"/>
          <w:szCs w:val="32"/>
          <w:highlight w:val="yellow"/>
          <w:lang w:val="en-US" w:eastAsia="zh-CN"/>
        </w:rPr>
        <w:t>供应商</w:t>
      </w:r>
      <w:r>
        <w:rPr>
          <w:rFonts w:hint="eastAsia" w:ascii="仿宋" w:hAnsi="仿宋" w:eastAsia="仿宋" w:cs="仿宋"/>
          <w:sz w:val="32"/>
          <w:szCs w:val="32"/>
          <w:highlight w:val="yellow"/>
        </w:rPr>
        <w:t>为中华人民共和国境内注册的独立法人或其他组织，提供有效的营业执照副本复印件（如非“三证合一”证照，同时提供税务登记证副本复印件）。</w:t>
      </w:r>
    </w:p>
    <w:p w14:paraId="2A4B56FB">
      <w:pPr>
        <w:numPr>
          <w:ilvl w:val="0"/>
          <w:numId w:val="2"/>
        </w:numPr>
        <w:spacing w:line="360" w:lineRule="auto"/>
        <w:ind w:firstLine="640" w:firstLineChars="200"/>
        <w:rPr>
          <w:rFonts w:hint="default" w:eastAsia="仿宋"/>
          <w:highlight w:val="yellow"/>
          <w:lang w:val="en-US" w:eastAsia="zh-CN"/>
        </w:rPr>
      </w:pPr>
      <w:r>
        <w:rPr>
          <w:rFonts w:hint="eastAsia" w:ascii="仿宋" w:hAnsi="仿宋" w:eastAsia="仿宋" w:cs="仿宋"/>
          <w:sz w:val="32"/>
          <w:szCs w:val="32"/>
          <w:highlight w:val="yellow"/>
          <w:lang w:val="en-US" w:eastAsia="zh-CN"/>
        </w:rPr>
        <w:t>供应商需同时具有1S0环境管理体系认证证书、1S0职业健康安全管理体系认证证书、1S0质量管理体系认证证书。</w:t>
      </w:r>
    </w:p>
    <w:p w14:paraId="1ABB1AE6">
      <w:pPr>
        <w:numPr>
          <w:ilvl w:val="0"/>
          <w:numId w:val="2"/>
        </w:numPr>
        <w:spacing w:line="360" w:lineRule="auto"/>
        <w:ind w:firstLine="640" w:firstLineChars="200"/>
        <w:rPr>
          <w:rFonts w:hint="default" w:ascii="仿宋" w:hAnsi="仿宋" w:eastAsia="仿宋" w:cs="仿宋"/>
          <w:kern w:val="2"/>
          <w:sz w:val="32"/>
          <w:szCs w:val="32"/>
          <w:highlight w:val="yellow"/>
          <w:lang w:val="en-US" w:eastAsia="zh-CN" w:bidi="ar-SA"/>
        </w:rPr>
      </w:pPr>
      <w:r>
        <w:rPr>
          <w:rFonts w:hint="eastAsia" w:ascii="仿宋" w:hAnsi="仿宋" w:eastAsia="仿宋" w:cs="仿宋"/>
          <w:kern w:val="2"/>
          <w:sz w:val="32"/>
          <w:szCs w:val="32"/>
          <w:highlight w:val="yellow"/>
          <w:lang w:val="en-US" w:eastAsia="zh-CN" w:bidi="ar-SA"/>
        </w:rPr>
        <w:t>供应商营业范围需包含：安全技术咨询或安全检查。</w:t>
      </w:r>
    </w:p>
    <w:p w14:paraId="63781CE1">
      <w:pPr>
        <w:numPr>
          <w:ilvl w:val="0"/>
          <w:numId w:val="2"/>
        </w:numPr>
        <w:spacing w:line="360" w:lineRule="auto"/>
        <w:ind w:firstLine="640" w:firstLineChars="200"/>
        <w:rPr>
          <w:rFonts w:ascii="仿宋" w:hAnsi="仿宋" w:eastAsia="仿宋" w:cs="仿宋"/>
          <w:sz w:val="32"/>
          <w:szCs w:val="32"/>
          <w:highlight w:val="yellow"/>
        </w:rPr>
      </w:pPr>
      <w:r>
        <w:rPr>
          <w:rFonts w:hint="eastAsia" w:ascii="仿宋" w:hAnsi="仿宋" w:eastAsia="仿宋" w:cs="仿宋"/>
          <w:sz w:val="32"/>
          <w:szCs w:val="32"/>
          <w:highlight w:val="yellow"/>
          <w:lang w:val="en-US" w:eastAsia="zh-CN"/>
        </w:rPr>
        <w:t>项目团队成员具有</w:t>
      </w:r>
      <w:r>
        <w:rPr>
          <w:rFonts w:hint="eastAsia" w:ascii="仿宋" w:hAnsi="仿宋" w:eastAsia="仿宋" w:cs="仿宋"/>
          <w:sz w:val="32"/>
          <w:szCs w:val="32"/>
          <w:highlight w:val="yellow"/>
        </w:rPr>
        <w:t>国家认定</w:t>
      </w:r>
      <w:r>
        <w:rPr>
          <w:rFonts w:hint="eastAsia" w:ascii="仿宋" w:hAnsi="仿宋" w:eastAsia="仿宋" w:cs="仿宋"/>
          <w:sz w:val="32"/>
          <w:szCs w:val="32"/>
          <w:highlight w:val="yellow"/>
          <w:lang w:val="en-US" w:eastAsia="zh-CN"/>
        </w:rPr>
        <w:t>中级</w:t>
      </w:r>
      <w:r>
        <w:rPr>
          <w:rFonts w:hint="eastAsia" w:ascii="仿宋" w:hAnsi="仿宋" w:eastAsia="仿宋" w:cs="仿宋"/>
          <w:sz w:val="32"/>
          <w:szCs w:val="32"/>
          <w:highlight w:val="yellow"/>
        </w:rPr>
        <w:t>注册安全工程师证书人证相符。</w:t>
      </w:r>
    </w:p>
    <w:p w14:paraId="07454F2A">
      <w:pPr>
        <w:numPr>
          <w:ilvl w:val="0"/>
          <w:numId w:val="2"/>
        </w:numPr>
        <w:spacing w:line="360" w:lineRule="auto"/>
        <w:ind w:firstLine="640" w:firstLineChars="200"/>
        <w:rPr>
          <w:rFonts w:ascii="仿宋" w:hAnsi="仿宋" w:eastAsia="仿宋" w:cs="仿宋"/>
          <w:sz w:val="32"/>
          <w:szCs w:val="32"/>
          <w:highlight w:val="yellow"/>
        </w:rPr>
      </w:pPr>
      <w:r>
        <w:rPr>
          <w:rFonts w:hint="eastAsia" w:ascii="仿宋" w:hAnsi="仿宋" w:eastAsia="仿宋" w:cs="仿宋"/>
          <w:sz w:val="32"/>
          <w:szCs w:val="32"/>
          <w:highlight w:val="yellow"/>
        </w:rPr>
        <w:t>参与本项目</w:t>
      </w:r>
      <w:r>
        <w:rPr>
          <w:rFonts w:hint="eastAsia" w:ascii="仿宋" w:hAnsi="仿宋" w:eastAsia="仿宋" w:cs="仿宋"/>
          <w:sz w:val="32"/>
          <w:szCs w:val="32"/>
          <w:highlight w:val="yellow"/>
          <w:lang w:val="en-US" w:eastAsia="zh-CN"/>
        </w:rPr>
        <w:t>采购</w:t>
      </w:r>
      <w:r>
        <w:rPr>
          <w:rFonts w:hint="eastAsia" w:ascii="仿宋" w:hAnsi="仿宋" w:eastAsia="仿宋" w:cs="仿宋"/>
          <w:sz w:val="32"/>
          <w:szCs w:val="32"/>
          <w:highlight w:val="yellow"/>
        </w:rPr>
        <w:t>前三年内，在经营活动中没有重大违法记录（</w:t>
      </w:r>
      <w:r>
        <w:rPr>
          <w:rFonts w:hint="eastAsia" w:ascii="仿宋" w:hAnsi="仿宋" w:eastAsia="仿宋" w:cs="仿宋"/>
          <w:sz w:val="32"/>
          <w:szCs w:val="32"/>
          <w:highlight w:val="yellow"/>
          <w:lang w:val="en-US" w:eastAsia="zh-CN"/>
        </w:rPr>
        <w:t>供应商</w:t>
      </w:r>
      <w:r>
        <w:rPr>
          <w:rFonts w:hint="eastAsia" w:ascii="仿宋" w:hAnsi="仿宋" w:eastAsia="仿宋" w:cs="仿宋"/>
          <w:sz w:val="32"/>
          <w:szCs w:val="32"/>
          <w:highlight w:val="yellow"/>
        </w:rPr>
        <w:t>出具声明函）。</w:t>
      </w:r>
    </w:p>
    <w:p w14:paraId="7997D353">
      <w:pPr>
        <w:numPr>
          <w:ilvl w:val="0"/>
          <w:numId w:val="2"/>
        </w:numPr>
        <w:spacing w:line="360" w:lineRule="auto"/>
        <w:ind w:firstLine="640" w:firstLineChars="200"/>
        <w:rPr>
          <w:rFonts w:hint="eastAsia" w:ascii="仿宋" w:hAnsi="仿宋" w:eastAsia="仿宋" w:cs="仿宋"/>
          <w:sz w:val="32"/>
          <w:szCs w:val="32"/>
          <w:highlight w:val="yellow"/>
        </w:rPr>
      </w:pPr>
      <w:r>
        <w:rPr>
          <w:rFonts w:hint="eastAsia" w:ascii="仿宋" w:hAnsi="仿宋" w:eastAsia="仿宋" w:cs="仿宋"/>
          <w:sz w:val="32"/>
          <w:szCs w:val="32"/>
          <w:highlight w:val="yellow"/>
          <w:lang w:val="en-US" w:eastAsia="zh-CN"/>
        </w:rPr>
        <w:t>采购项目</w:t>
      </w:r>
      <w:r>
        <w:rPr>
          <w:rFonts w:hint="eastAsia" w:ascii="仿宋" w:hAnsi="仿宋" w:eastAsia="仿宋" w:cs="仿宋"/>
          <w:sz w:val="32"/>
          <w:szCs w:val="32"/>
          <w:highlight w:val="yellow"/>
        </w:rPr>
        <w:t>不接受转包分包。</w:t>
      </w:r>
      <w:bookmarkEnd w:id="0"/>
    </w:p>
    <w:p w14:paraId="48BC222F">
      <w:pPr>
        <w:numPr>
          <w:ilvl w:val="0"/>
          <w:numId w:val="3"/>
        </w:num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采购项目内容</w:t>
      </w:r>
    </w:p>
    <w:p w14:paraId="54370180">
      <w:pPr>
        <w:numPr>
          <w:ilvl w:val="0"/>
          <w:numId w:val="0"/>
        </w:numPr>
        <w:spacing w:line="360" w:lineRule="auto"/>
        <w:ind w:left="0" w:leftChars="0" w:firstLine="420" w:firstLineChars="0"/>
        <w:jc w:val="both"/>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一、</w:t>
      </w:r>
      <w:r>
        <w:rPr>
          <w:rFonts w:hint="eastAsia" w:ascii="仿宋" w:hAnsi="仿宋" w:eastAsia="仿宋" w:cs="仿宋"/>
          <w:sz w:val="32"/>
          <w:szCs w:val="32"/>
          <w:lang w:val="en-US" w:eastAsia="zh-CN"/>
        </w:rPr>
        <w:t>项目内容：</w:t>
      </w:r>
    </w:p>
    <w:p w14:paraId="09E7FB6A">
      <w:pPr>
        <w:pStyle w:val="3"/>
        <w:numPr>
          <w:ilvl w:val="0"/>
          <w:numId w:val="0"/>
        </w:numPr>
        <w:ind w:left="0" w:leftChars="0" w:firstLine="420" w:firstLineChars="0"/>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（一）协助、辅导甲方进行安全生产检查及档案资料梳理。建立健全并落实本单位全员安全生产责任制、安全生产规章制度和操作规程，对甲方现有的安全管理制度查漏补缺，加强安全生产标准化建设，</w:t>
      </w:r>
      <w:r>
        <w:rPr>
          <w:rFonts w:hint="eastAsia" w:ascii="仿宋" w:hAnsi="仿宋" w:eastAsia="仿宋" w:cs="仿宋"/>
          <w:b/>
          <w:bCs/>
          <w:color w:val="C00000"/>
          <w:kern w:val="0"/>
          <w:sz w:val="32"/>
          <w:szCs w:val="32"/>
          <w:lang w:val="en-US" w:eastAsia="zh-CN" w:bidi="ar"/>
        </w:rPr>
        <w:t>每个月至少派一名注册工程师驻点甲方所在医院协助指导，为期5天。</w:t>
      </w:r>
    </w:p>
    <w:p w14:paraId="298CCCF0">
      <w:pPr>
        <w:pStyle w:val="3"/>
        <w:numPr>
          <w:ilvl w:val="0"/>
          <w:numId w:val="0"/>
        </w:numPr>
        <w:ind w:left="0" w:leftChars="0" w:firstLine="420" w:firstLineChars="0"/>
        <w:rPr>
          <w:rFonts w:hint="eastAsia" w:ascii="仿宋" w:hAnsi="仿宋" w:eastAsia="仿宋" w:cs="仿宋"/>
          <w:b/>
          <w:bCs/>
          <w:color w:val="C00000"/>
          <w:kern w:val="0"/>
          <w:sz w:val="32"/>
          <w:szCs w:val="32"/>
          <w:lang w:val="en-US" w:eastAsia="zh-CN" w:bidi="ar"/>
        </w:rPr>
      </w:pPr>
      <w:r>
        <w:rPr>
          <w:rFonts w:hint="eastAsia" w:ascii="仿宋" w:hAnsi="仿宋" w:eastAsia="仿宋" w:cs="仿宋"/>
          <w:b/>
          <w:bCs/>
          <w:color w:val="C00000"/>
          <w:kern w:val="0"/>
          <w:sz w:val="32"/>
          <w:szCs w:val="32"/>
          <w:lang w:val="en-US" w:eastAsia="zh-CN" w:bidi="ar"/>
        </w:rPr>
        <w:t>（二）协助、指导甲方建立完善深圳市医疗机构消防安全标准化建设并根据医院实际情况编制消防档案。</w:t>
      </w:r>
    </w:p>
    <w:p w14:paraId="6AE033C0">
      <w:pPr>
        <w:pStyle w:val="3"/>
        <w:numPr>
          <w:ilvl w:val="0"/>
          <w:numId w:val="0"/>
        </w:numPr>
        <w:ind w:left="0" w:leftChars="0" w:firstLine="420" w:firstLineChars="0"/>
        <w:rPr>
          <w:rFonts w:hint="default" w:ascii="仿宋" w:hAnsi="仿宋" w:eastAsia="仿宋" w:cs="仿宋"/>
          <w:b/>
          <w:bCs/>
          <w:color w:val="C00000"/>
          <w:kern w:val="0"/>
          <w:sz w:val="32"/>
          <w:szCs w:val="32"/>
          <w:lang w:val="en-US" w:eastAsia="zh-CN" w:bidi="ar"/>
        </w:rPr>
      </w:pPr>
      <w:r>
        <w:rPr>
          <w:rFonts w:hint="eastAsia" w:ascii="仿宋" w:hAnsi="仿宋" w:eastAsia="仿宋" w:cs="仿宋"/>
          <w:b/>
          <w:bCs/>
          <w:color w:val="C00000"/>
          <w:kern w:val="0"/>
          <w:sz w:val="32"/>
          <w:szCs w:val="32"/>
          <w:lang w:val="en-US" w:eastAsia="zh-CN" w:bidi="ar"/>
        </w:rPr>
        <w:t>（三）</w:t>
      </w:r>
      <w:r>
        <w:rPr>
          <w:rFonts w:hint="eastAsia" w:ascii="仿宋_GB2312" w:hAnsi="仿宋_GB2312" w:eastAsia="仿宋_GB2312" w:cs="仿宋_GB2312"/>
          <w:kern w:val="0"/>
          <w:sz w:val="28"/>
          <w:szCs w:val="28"/>
          <w:lang w:val="en-US" w:eastAsia="zh-CN"/>
        </w:rPr>
        <w:t>检查主要区域包括但不限于：门诊、住院部、食堂、医院宿舍、地下停车库、消防设施和疏散通道等；</w:t>
      </w:r>
    </w:p>
    <w:p w14:paraId="63E5C7F4">
      <w:pPr>
        <w:pStyle w:val="3"/>
        <w:numPr>
          <w:ilvl w:val="0"/>
          <w:numId w:val="0"/>
        </w:numPr>
        <w:ind w:left="0" w:leftChars="0" w:firstLine="420" w:firstLineChars="0"/>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（四）根据甲方的实际情况，完善、修改应急预案，对甲方的应急预案编制进行指导咨询服务，包括综合应急预案、专项应急预案和现场处置方案。</w:t>
      </w:r>
    </w:p>
    <w:p w14:paraId="24B0F9B4">
      <w:pPr>
        <w:pStyle w:val="3"/>
        <w:numPr>
          <w:ilvl w:val="0"/>
          <w:numId w:val="0"/>
        </w:numPr>
        <w:ind w:left="0" w:leftChars="0" w:firstLine="420" w:firstLineChars="0"/>
        <w:rPr>
          <w:rFonts w:hint="eastAsia" w:ascii="仿宋" w:hAnsi="仿宋" w:eastAsia="仿宋" w:cs="仿宋"/>
          <w:b/>
          <w:bCs/>
          <w:color w:val="C00000"/>
          <w:kern w:val="0"/>
          <w:sz w:val="32"/>
          <w:szCs w:val="32"/>
          <w:lang w:val="en-US" w:eastAsia="zh-CN" w:bidi="ar"/>
        </w:rPr>
      </w:pPr>
      <w:r>
        <w:rPr>
          <w:rFonts w:hint="eastAsia" w:ascii="仿宋" w:hAnsi="仿宋" w:eastAsia="仿宋" w:cs="仿宋"/>
          <w:b/>
          <w:bCs/>
          <w:color w:val="C00000"/>
          <w:kern w:val="0"/>
          <w:sz w:val="32"/>
          <w:szCs w:val="32"/>
          <w:lang w:val="en-US" w:eastAsia="zh-CN" w:bidi="ar"/>
        </w:rPr>
        <w:t>（五）根据预案内容，乙方至少需派遣两名专业人员协助、指导甲方开展应急演练4次；通过应急演练，强化和落实甲方主体责任，提高甲方全体人员的消防安全意识。</w:t>
      </w:r>
    </w:p>
    <w:p w14:paraId="585497F6">
      <w:pPr>
        <w:pStyle w:val="3"/>
        <w:numPr>
          <w:ilvl w:val="0"/>
          <w:numId w:val="0"/>
        </w:numPr>
        <w:ind w:left="0" w:leftChars="0" w:firstLine="420" w:firstLineChars="0"/>
        <w:rPr>
          <w:rFonts w:hint="eastAsia" w:ascii="仿宋" w:hAnsi="仿宋" w:eastAsia="仿宋" w:cs="仿宋"/>
          <w:b/>
          <w:bCs/>
          <w:color w:val="C00000"/>
          <w:kern w:val="0"/>
          <w:sz w:val="32"/>
          <w:szCs w:val="32"/>
          <w:lang w:val="en-US" w:eastAsia="zh-CN" w:bidi="ar"/>
        </w:rPr>
      </w:pPr>
      <w:r>
        <w:rPr>
          <w:rFonts w:hint="eastAsia" w:ascii="仿宋" w:hAnsi="仿宋" w:eastAsia="仿宋" w:cs="仿宋"/>
          <w:b/>
          <w:bCs/>
          <w:color w:val="C00000"/>
          <w:kern w:val="0"/>
          <w:sz w:val="32"/>
          <w:szCs w:val="32"/>
          <w:lang w:val="en-US" w:eastAsia="zh-CN" w:bidi="ar"/>
        </w:rPr>
        <w:t>（六）乙方至少需派遣两名专业人员协助、指导甲方组织制定并实施本单位安全生产教育和培训计划。至少开展4场安全教育培训，包括培训课件、培训签名表、培训照片、培训考核以及培训效果评估等。甲方负责培训场地的落实和参加培训人员的组织。</w:t>
      </w:r>
    </w:p>
    <w:p w14:paraId="578E6654">
      <w:pPr>
        <w:pStyle w:val="3"/>
        <w:numPr>
          <w:ilvl w:val="0"/>
          <w:numId w:val="0"/>
        </w:numPr>
        <w:ind w:left="0" w:leftChars="0" w:firstLine="420" w:firstLineChars="0"/>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（七）每季度对甲方全区域开展一次全面的安全生产检查，巡查结果应有隐患描述、隐患照片、巡查人员签名等纸质记录，乙方对检查出的隐患负责指导甲方落实整改直至闭环。</w:t>
      </w:r>
    </w:p>
    <w:p w14:paraId="35328C7F">
      <w:pPr>
        <w:pStyle w:val="3"/>
        <w:numPr>
          <w:ilvl w:val="0"/>
          <w:numId w:val="0"/>
        </w:numPr>
        <w:ind w:left="0" w:leftChars="0" w:firstLine="420" w:firstLineChars="0"/>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（八）根据季度检查出具季度检查报告，并协助、指导甲方落实整改。</w:t>
      </w:r>
    </w:p>
    <w:p w14:paraId="72DD7FE1">
      <w:pPr>
        <w:pStyle w:val="3"/>
        <w:numPr>
          <w:ilvl w:val="0"/>
          <w:numId w:val="0"/>
        </w:numPr>
        <w:ind w:left="0" w:leftChars="0" w:firstLine="420" w:firstLineChars="0"/>
        <w:rPr>
          <w:rFonts w:hint="default" w:ascii="仿宋" w:hAnsi="仿宋" w:eastAsia="仿宋" w:cs="仿宋"/>
          <w:b/>
          <w:bCs/>
          <w:color w:val="000000"/>
          <w:kern w:val="0"/>
          <w:sz w:val="32"/>
          <w:szCs w:val="32"/>
          <w:lang w:val="en-US" w:eastAsia="zh-CN" w:bidi="ar"/>
        </w:rPr>
      </w:pPr>
      <w:r>
        <w:rPr>
          <w:rFonts w:hint="eastAsia" w:ascii="仿宋" w:hAnsi="仿宋" w:eastAsia="仿宋" w:cs="仿宋"/>
          <w:b/>
          <w:bCs/>
          <w:color w:val="C00000"/>
          <w:kern w:val="0"/>
          <w:sz w:val="32"/>
          <w:szCs w:val="32"/>
          <w:lang w:val="en-US" w:eastAsia="zh-CN" w:bidi="ar"/>
        </w:rPr>
        <w:t>（九）根据季度检查报告和医院实际情况，编制半年/年度总结报告，一年两次。</w:t>
      </w:r>
    </w:p>
    <w:p w14:paraId="298CE777">
      <w:pPr>
        <w:pStyle w:val="3"/>
        <w:numPr>
          <w:ilvl w:val="0"/>
          <w:numId w:val="0"/>
        </w:numPr>
        <w:ind w:left="0" w:leftChars="0" w:firstLine="420" w:firstLineChars="0"/>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十）针对甲方全区域范围内开展一次建筑电气系统安全检验检测，检测项目包含电气系统的带电设备红外诊断；电气系统的剩余电流动作保护装置检测；电气系统的绝缘电阻检测；变配电系统建筑、接线端子的安装情况；电气系统的接地电阻检测；室内低压配电线路配线情况，动力及照明配电箱、开关插座的安装；吊顶内线路的敷设；电气设备接地和等电位联结等。</w:t>
      </w:r>
    </w:p>
    <w:p w14:paraId="0D021F61">
      <w:pPr>
        <w:pStyle w:val="3"/>
        <w:numPr>
          <w:ilvl w:val="0"/>
          <w:numId w:val="0"/>
        </w:numPr>
        <w:ind w:left="0" w:leftChars="0" w:firstLine="420" w:firstLineChars="0"/>
        <w:rPr>
          <w:rFonts w:hint="eastAsia" w:ascii="仿宋" w:hAnsi="仿宋" w:eastAsia="仿宋" w:cs="仿宋"/>
          <w:b/>
          <w:bCs/>
          <w:color w:val="000000"/>
          <w:kern w:val="0"/>
          <w:sz w:val="32"/>
          <w:szCs w:val="32"/>
          <w:lang w:val="en-US" w:eastAsia="zh-CN" w:bidi="ar"/>
        </w:rPr>
      </w:pPr>
      <w:r>
        <w:rPr>
          <w:rFonts w:hint="eastAsia" w:ascii="仿宋" w:hAnsi="仿宋" w:eastAsia="仿宋" w:cs="仿宋"/>
          <w:b/>
          <w:bCs/>
          <w:color w:val="000000"/>
          <w:kern w:val="0"/>
          <w:sz w:val="32"/>
          <w:szCs w:val="32"/>
          <w:lang w:val="en-US" w:eastAsia="zh-CN" w:bidi="ar"/>
        </w:rPr>
        <w:t>（十）针对甲方全区域范围内开展一次建筑消防安全评估，出具评估报告，检测项目依据福田区卫生健康局年度考核内容。</w:t>
      </w:r>
    </w:p>
    <w:p w14:paraId="04A64368">
      <w:pPr>
        <w:pStyle w:val="3"/>
        <w:numPr>
          <w:ilvl w:val="0"/>
          <w:numId w:val="0"/>
        </w:numPr>
        <w:ind w:left="0" w:leftChars="0" w:firstLine="420" w:firstLineChars="0"/>
        <w:rPr>
          <w:rFonts w:hint="default" w:ascii="仿宋" w:hAnsi="仿宋" w:eastAsia="仿宋" w:cs="仿宋"/>
          <w:b/>
          <w:bCs/>
          <w:color w:val="C00000"/>
          <w:kern w:val="0"/>
          <w:sz w:val="32"/>
          <w:szCs w:val="32"/>
          <w:lang w:val="en-US" w:eastAsia="zh-CN" w:bidi="ar"/>
        </w:rPr>
      </w:pPr>
      <w:r>
        <w:rPr>
          <w:rFonts w:hint="eastAsia" w:ascii="仿宋" w:hAnsi="仿宋" w:eastAsia="仿宋" w:cs="仿宋"/>
          <w:b/>
          <w:bCs/>
          <w:color w:val="C00000"/>
          <w:kern w:val="0"/>
          <w:sz w:val="32"/>
          <w:szCs w:val="32"/>
          <w:lang w:val="en-US" w:eastAsia="zh-CN" w:bidi="ar"/>
        </w:rPr>
        <w:t>（十一）协助医院完成每年安全生产、消防和三防工作责任书年终考核，提供相关资料，以及责任书的编制。</w:t>
      </w:r>
    </w:p>
    <w:p w14:paraId="583093B6">
      <w:pPr>
        <w:pStyle w:val="3"/>
        <w:numPr>
          <w:ilvl w:val="0"/>
          <w:numId w:val="0"/>
        </w:numPr>
        <w:ind w:left="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b/>
          <w:bCs/>
          <w:color w:val="C00000"/>
          <w:kern w:val="0"/>
          <w:sz w:val="32"/>
          <w:szCs w:val="32"/>
          <w:lang w:val="en-US" w:eastAsia="zh-CN" w:bidi="ar"/>
        </w:rPr>
        <w:t>（十二）依据甲方的实际情况和福田区卫生健康局年度考核内容的要求，完善、修改安全风险分级管控实施指南和事故灾难类安全风险评估报告。</w:t>
      </w:r>
    </w:p>
    <w:p w14:paraId="0106C15A">
      <w:pPr>
        <w:numPr>
          <w:ilvl w:val="0"/>
          <w:numId w:val="0"/>
        </w:numPr>
        <w:spacing w:line="360" w:lineRule="auto"/>
        <w:ind w:left="0" w:leftChars="0" w:firstLine="420" w:firstLineChars="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二、报价要求:</w:t>
      </w:r>
    </w:p>
    <w:p w14:paraId="33915FB7">
      <w:pPr>
        <w:pStyle w:val="3"/>
        <w:numPr>
          <w:ilvl w:val="0"/>
          <w:numId w:val="4"/>
        </w:numPr>
        <w:ind w:left="21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本项目服务费采用包干制，采购上限价为¥9.5万元，</w:t>
      </w:r>
    </w:p>
    <w:p w14:paraId="2513188D">
      <w:pPr>
        <w:pStyle w:val="3"/>
        <w:numPr>
          <w:ilvl w:val="0"/>
          <w:numId w:val="0"/>
        </w:numPr>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应包括服务成本、法定税费和企业的利润。</w:t>
      </w:r>
      <w:r>
        <w:rPr>
          <w:rFonts w:hint="eastAsia" w:ascii="仿宋" w:hAnsi="仿宋" w:eastAsia="仿宋" w:cs="仿宋"/>
          <w:color w:val="000000"/>
          <w:kern w:val="0"/>
          <w:sz w:val="32"/>
          <w:szCs w:val="32"/>
          <w:highlight w:val="yellow"/>
          <w:lang w:val="en-US" w:eastAsia="zh-CN" w:bidi="ar"/>
        </w:rPr>
        <w:t>由服务供应商根据采购文件所提供的资料及服务清单自行测算采购项目报价</w:t>
      </w:r>
      <w:r>
        <w:rPr>
          <w:rFonts w:hint="eastAsia" w:ascii="仿宋" w:hAnsi="仿宋" w:eastAsia="仿宋" w:cs="仿宋"/>
          <w:color w:val="000000"/>
          <w:kern w:val="0"/>
          <w:sz w:val="32"/>
          <w:szCs w:val="32"/>
          <w:lang w:val="en-US" w:eastAsia="zh-CN" w:bidi="ar"/>
        </w:rPr>
        <w:t>；报价总价作为服务供应商与采购人签订的合同金额，合同期限内不作调整。</w:t>
      </w:r>
    </w:p>
    <w:p w14:paraId="016BE5A3">
      <w:pPr>
        <w:pStyle w:val="3"/>
        <w:numPr>
          <w:ilvl w:val="0"/>
          <w:numId w:val="4"/>
        </w:numPr>
        <w:ind w:left="21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供应商应当根据本企业的成本自行决定报价，但不得以低于其企业成本的报价。</w:t>
      </w:r>
    </w:p>
    <w:p w14:paraId="2ACF7B30">
      <w:pPr>
        <w:pStyle w:val="3"/>
        <w:numPr>
          <w:ilvl w:val="0"/>
          <w:numId w:val="4"/>
        </w:numPr>
        <w:ind w:left="21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供应商的报价不得超过项目预算金额。供应商的报价，应当是本项目采购范围和采购文件及合同条款上所列的各项内容中所述的全部，不得以任何理由予以重复。</w:t>
      </w:r>
    </w:p>
    <w:p w14:paraId="7FCFE732">
      <w:pPr>
        <w:pStyle w:val="3"/>
        <w:numPr>
          <w:ilvl w:val="0"/>
          <w:numId w:val="4"/>
        </w:numPr>
        <w:ind w:left="21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除非采购人通过修改采购文件予以更正，否则，供应商应毫无例外地按响应文件所列的清单中项目和数量填报综合单价和合价。供应商未填综合单价或合价的项目，在实施后，将不得以支付，并视作该项费用已包括在其它有价款的综合单价或合价内。</w:t>
      </w:r>
    </w:p>
    <w:p w14:paraId="62E320C2">
      <w:pPr>
        <w:pStyle w:val="3"/>
        <w:numPr>
          <w:ilvl w:val="0"/>
          <w:numId w:val="4"/>
        </w:numPr>
        <w:ind w:left="21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供应商应先到项目地点踏勘以充分了解项目的位置、情况、道路及任何其它足以影响报价的情况，任何因忽视或误解项目情况而导致的索赔或服务期限延长申请将不获批准。</w:t>
      </w:r>
    </w:p>
    <w:p w14:paraId="7937D2F3">
      <w:pPr>
        <w:pStyle w:val="3"/>
        <w:numPr>
          <w:ilvl w:val="0"/>
          <w:numId w:val="4"/>
        </w:numPr>
        <w:ind w:left="210" w:leftChars="0" w:firstLine="420" w:firstLineChars="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供应商不得期望通过索赔等方式获取补偿，否则，除可能遭到拒绝外，还可能将被作为不良行为记录在案，并可能影响其以后参加政府采购的项目。各供应商在报价时，应充分考虑报价的风险。</w:t>
      </w:r>
    </w:p>
    <w:p w14:paraId="752FA711">
      <w:pPr>
        <w:numPr>
          <w:ilvl w:val="0"/>
          <w:numId w:val="5"/>
        </w:numPr>
        <w:spacing w:line="360" w:lineRule="auto"/>
        <w:ind w:left="0" w:leftChars="0" w:firstLine="420" w:firstLineChars="0"/>
        <w:jc w:val="both"/>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违约责任：（根据用户方提供情况制定）</w:t>
      </w:r>
    </w:p>
    <w:p w14:paraId="6DC6A2CA">
      <w:pPr>
        <w:pStyle w:val="3"/>
        <w:numPr>
          <w:ilvl w:val="0"/>
          <w:numId w:val="6"/>
        </w:num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合同期内，经安全生产检查后仍发生事故，事故原因涉及到隐患未能及时指出，一般事故中，经济损失100万元以上的</w:t>
      </w:r>
      <w:r>
        <w:rPr>
          <w:rFonts w:hint="eastAsia" w:ascii="仿宋" w:hAnsi="仿宋" w:eastAsia="仿宋" w:cs="仿宋"/>
          <w:color w:val="auto"/>
          <w:kern w:val="0"/>
          <w:sz w:val="32"/>
          <w:szCs w:val="32"/>
          <w:highlight w:val="yellow"/>
          <w:lang w:val="en-US" w:eastAsia="zh-CN" w:bidi="ar"/>
        </w:rPr>
        <w:t>，一起扣2万；较大事故中，亡人事故一起扣4万；</w:t>
      </w:r>
      <w:r>
        <w:rPr>
          <w:rFonts w:hint="eastAsia" w:ascii="仿宋" w:hAnsi="仿宋" w:eastAsia="仿宋" w:cs="仿宋"/>
          <w:color w:val="000000"/>
          <w:kern w:val="0"/>
          <w:sz w:val="32"/>
          <w:szCs w:val="32"/>
          <w:lang w:val="en-US" w:eastAsia="zh-CN" w:bidi="ar"/>
        </w:rPr>
        <w:t>累计发生2起安全生产亡人事故，合同取消，尾款不予支付；较大及以上等级事故，合同取消，尾款不予支付。</w:t>
      </w:r>
    </w:p>
    <w:p w14:paraId="3CCEAA4F">
      <w:pPr>
        <w:pStyle w:val="3"/>
        <w:numPr>
          <w:ilvl w:val="0"/>
          <w:numId w:val="0"/>
        </w:num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2.检查人员有下列情况之一的，我院可要求中标机构直接清退相关人员或者终止合同：</w:t>
      </w:r>
    </w:p>
    <w:p w14:paraId="51F4A2B6">
      <w:pPr>
        <w:pStyle w:val="3"/>
        <w:numPr>
          <w:ilvl w:val="0"/>
          <w:numId w:val="0"/>
        </w:num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（1）未严格按有关标准进行检查的；</w:t>
      </w:r>
    </w:p>
    <w:p w14:paraId="2C9120E1">
      <w:pPr>
        <w:pStyle w:val="3"/>
        <w:numPr>
          <w:ilvl w:val="0"/>
          <w:numId w:val="0"/>
        </w:num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（2）检查中发现企业有重大事故隐患未及时报告的；</w:t>
      </w:r>
    </w:p>
    <w:p w14:paraId="62D65A86">
      <w:pPr>
        <w:pStyle w:val="3"/>
        <w:numPr>
          <w:ilvl w:val="0"/>
          <w:numId w:val="0"/>
        </w:num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（3）检查中严重弄虚作假、职业道德不良等行为的。</w:t>
      </w:r>
    </w:p>
    <w:p w14:paraId="6C3FA8B4">
      <w:pPr>
        <w:pStyle w:val="3"/>
        <w:numPr>
          <w:ilvl w:val="0"/>
          <w:numId w:val="0"/>
        </w:numPr>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（4）中标单位及检查员应对检查结果负责，出具虚假检查报告的，按《安全生产法》第九十二条进行处理。</w:t>
      </w:r>
    </w:p>
    <w:p w14:paraId="256A323A">
      <w:pPr>
        <w:pStyle w:val="3"/>
        <w:numPr>
          <w:ilvl w:val="0"/>
          <w:numId w:val="0"/>
        </w:numPr>
        <w:ind w:firstLine="640" w:firstLineChars="200"/>
        <w:rPr>
          <w:rFonts w:hint="eastAsia" w:ascii="仿宋_GB2312" w:hAnsi="仿宋_GB2312" w:eastAsia="仿宋_GB2312" w:cs="仿宋_GB2312"/>
          <w:color w:val="000000"/>
          <w:sz w:val="32"/>
          <w:szCs w:val="32"/>
          <w:lang w:eastAsia="zh-CN"/>
        </w:rPr>
      </w:pPr>
      <w:r>
        <w:rPr>
          <w:rFonts w:hint="eastAsia" w:ascii="仿宋" w:hAnsi="仿宋" w:eastAsia="仿宋" w:cs="仿宋"/>
          <w:color w:val="000000"/>
          <w:kern w:val="0"/>
          <w:sz w:val="32"/>
          <w:szCs w:val="32"/>
          <w:lang w:val="en-US" w:eastAsia="zh-CN" w:bidi="ar"/>
        </w:rPr>
        <w:t>3.</w:t>
      </w:r>
      <w:r>
        <w:rPr>
          <w:rFonts w:hint="eastAsia" w:ascii="仿宋_GB2312" w:hAnsi="仿宋_GB2312" w:eastAsia="仿宋_GB2312" w:cs="仿宋_GB2312"/>
          <w:color w:val="000000"/>
          <w:sz w:val="32"/>
          <w:szCs w:val="32"/>
        </w:rPr>
        <w:t>乙方派驻现场的安全检查人员未客观公正的开展工作，或存在弄虚作假行为，甲方有权终止合同</w:t>
      </w:r>
      <w:r>
        <w:rPr>
          <w:rFonts w:hint="eastAsia" w:ascii="仿宋_GB2312" w:hAnsi="仿宋_GB2312" w:eastAsia="仿宋_GB2312" w:cs="仿宋_GB2312"/>
          <w:color w:val="000000"/>
          <w:sz w:val="32"/>
          <w:szCs w:val="32"/>
          <w:lang w:eastAsia="zh-CN"/>
        </w:rPr>
        <w:t>。</w:t>
      </w:r>
    </w:p>
    <w:p w14:paraId="163AD2BB">
      <w:pPr>
        <w:pStyle w:val="3"/>
        <w:numPr>
          <w:ilvl w:val="0"/>
          <w:numId w:val="0"/>
        </w:numPr>
        <w:ind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乙方未按甲方指令要求完成相应检查工作的，每发生一次，乙方应向甲方支付合同价款的</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0%的违约金</w:t>
      </w:r>
      <w:r>
        <w:rPr>
          <w:rFonts w:hint="eastAsia" w:ascii="仿宋_GB2312" w:hAnsi="仿宋_GB2312" w:eastAsia="仿宋_GB2312" w:cs="仿宋_GB2312"/>
          <w:color w:val="000000"/>
          <w:sz w:val="32"/>
          <w:szCs w:val="32"/>
          <w:lang w:eastAsia="zh-CN"/>
        </w:rPr>
        <w:t>。</w:t>
      </w:r>
    </w:p>
    <w:p w14:paraId="7588C816">
      <w:pPr>
        <w:pStyle w:val="3"/>
        <w:numPr>
          <w:ilvl w:val="0"/>
          <w:numId w:val="0"/>
        </w:numPr>
        <w:rPr>
          <w:rFonts w:hint="default" w:ascii="仿宋" w:hAnsi="仿宋" w:eastAsia="仿宋" w:cs="仿宋"/>
          <w:color w:val="000000"/>
          <w:kern w:val="0"/>
          <w:sz w:val="32"/>
          <w:szCs w:val="32"/>
          <w:lang w:val="en-US" w:eastAsia="zh-CN" w:bidi="ar"/>
        </w:rPr>
      </w:pPr>
    </w:p>
    <w:p w14:paraId="11AB9260">
      <w:pPr>
        <w:pStyle w:val="3"/>
        <w:numPr>
          <w:ilvl w:val="0"/>
          <w:numId w:val="0"/>
        </w:numPr>
        <w:rPr>
          <w:rFonts w:hint="default" w:ascii="仿宋" w:hAnsi="仿宋" w:eastAsia="仿宋" w:cs="仿宋"/>
          <w:color w:val="000000"/>
          <w:kern w:val="0"/>
          <w:sz w:val="32"/>
          <w:szCs w:val="32"/>
          <w:lang w:val="en-US" w:eastAsia="zh-CN" w:bidi="ar"/>
        </w:rPr>
        <w:sectPr>
          <w:pgSz w:w="16838" w:h="11906" w:orient="landscape"/>
          <w:pgMar w:top="1800" w:right="1440" w:bottom="1800" w:left="1440" w:header="851" w:footer="992" w:gutter="0"/>
          <w:cols w:space="425" w:num="1"/>
          <w:docGrid w:type="lines" w:linePitch="312" w:charSpace="0"/>
        </w:sectPr>
      </w:pPr>
      <w:r>
        <w:rPr>
          <w:rFonts w:hint="eastAsia" w:ascii="仿宋" w:hAnsi="仿宋" w:eastAsia="仿宋" w:cs="仿宋"/>
          <w:color w:val="000000"/>
          <w:kern w:val="0"/>
          <w:sz w:val="32"/>
          <w:szCs w:val="32"/>
          <w:lang w:val="en-US" w:eastAsia="zh-CN" w:bidi="ar"/>
        </w:rPr>
        <w:t>五、服务清单详见下附表（下页可见）</w:t>
      </w:r>
    </w:p>
    <w:p w14:paraId="4BB4079F">
      <w:pPr>
        <w:pStyle w:val="3"/>
        <w:numPr>
          <w:ilvl w:val="0"/>
          <w:numId w:val="0"/>
        </w:numPr>
        <w:rPr>
          <w:rFonts w:hint="eastAsia" w:ascii="仿宋" w:hAnsi="仿宋" w:eastAsia="仿宋" w:cs="仿宋"/>
          <w:color w:val="000000"/>
          <w:kern w:val="0"/>
          <w:sz w:val="32"/>
          <w:szCs w:val="32"/>
          <w:lang w:val="en-US" w:eastAsia="zh-CN" w:bidi="ar"/>
        </w:rPr>
      </w:pPr>
    </w:p>
    <w:tbl>
      <w:tblPr>
        <w:tblStyle w:val="9"/>
        <w:tblpPr w:leftFromText="180" w:rightFromText="180" w:vertAnchor="text" w:horzAnchor="page" w:tblpX="2105" w:tblpY="144"/>
        <w:tblOverlap w:val="never"/>
        <w:tblW w:w="12373" w:type="dxa"/>
        <w:jc w:val="center"/>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Layout w:type="fixed"/>
        <w:tblCellMar>
          <w:top w:w="0" w:type="dxa"/>
          <w:left w:w="0" w:type="dxa"/>
          <w:bottom w:w="0" w:type="dxa"/>
          <w:right w:w="0" w:type="dxa"/>
        </w:tblCellMar>
      </w:tblPr>
      <w:tblGrid>
        <w:gridCol w:w="616"/>
        <w:gridCol w:w="3591"/>
        <w:gridCol w:w="729"/>
        <w:gridCol w:w="1431"/>
        <w:gridCol w:w="6006"/>
      </w:tblGrid>
      <w:tr w14:paraId="3E2CC7B2">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913" w:hRule="atLeast"/>
          <w:tblHeader/>
          <w:jc w:val="center"/>
        </w:trPr>
        <w:tc>
          <w:tcPr>
            <w:tcW w:w="616" w:type="dxa"/>
            <w:tcBorders>
              <w:top w:val="single" w:color="auto" w:sz="4" w:space="0"/>
              <w:left w:val="single" w:color="auto" w:sz="4" w:space="0"/>
              <w:bottom w:val="single" w:color="auto" w:sz="4" w:space="0"/>
              <w:right w:val="single" w:color="auto" w:sz="4" w:space="0"/>
            </w:tcBorders>
            <w:vAlign w:val="center"/>
          </w:tcPr>
          <w:p w14:paraId="2D22B924">
            <w:pPr>
              <w:pStyle w:val="8"/>
              <w:spacing w:before="88" w:line="223" w:lineRule="auto"/>
              <w:ind w:left="99"/>
              <w:jc w:val="both"/>
              <w:rPr>
                <w:sz w:val="24"/>
                <w:szCs w:val="24"/>
              </w:rPr>
            </w:pPr>
            <w:r>
              <w:rPr>
                <w:spacing w:val="-3"/>
                <w:sz w:val="24"/>
                <w:szCs w:val="24"/>
              </w:rPr>
              <w:t>序号</w:t>
            </w:r>
          </w:p>
        </w:tc>
        <w:tc>
          <w:tcPr>
            <w:tcW w:w="3591" w:type="dxa"/>
            <w:tcBorders>
              <w:top w:val="single" w:color="auto" w:sz="4" w:space="0"/>
              <w:left w:val="single" w:color="auto" w:sz="4" w:space="0"/>
              <w:bottom w:val="single" w:color="auto" w:sz="4" w:space="0"/>
              <w:right w:val="single" w:color="auto" w:sz="4" w:space="0"/>
            </w:tcBorders>
            <w:vAlign w:val="center"/>
          </w:tcPr>
          <w:p w14:paraId="5E195312">
            <w:pPr>
              <w:pStyle w:val="8"/>
              <w:spacing w:before="89" w:line="221" w:lineRule="auto"/>
              <w:ind w:left="100"/>
              <w:jc w:val="center"/>
              <w:rPr>
                <w:sz w:val="24"/>
                <w:szCs w:val="24"/>
              </w:rPr>
            </w:pPr>
            <w:r>
              <w:rPr>
                <w:rFonts w:ascii="宋体" w:hAnsi="宋体" w:eastAsia="宋体" w:cs="宋体"/>
                <w:spacing w:val="-1"/>
                <w:sz w:val="24"/>
                <w:szCs w:val="24"/>
              </w:rPr>
              <w:t>服务</w:t>
            </w:r>
            <w:r>
              <w:rPr>
                <w:spacing w:val="-1"/>
                <w:sz w:val="24"/>
                <w:szCs w:val="24"/>
              </w:rPr>
              <w:t>名称</w:t>
            </w:r>
          </w:p>
        </w:tc>
        <w:tc>
          <w:tcPr>
            <w:tcW w:w="729" w:type="dxa"/>
            <w:tcBorders>
              <w:top w:val="single" w:color="auto" w:sz="4" w:space="0"/>
              <w:left w:val="single" w:color="auto" w:sz="4" w:space="0"/>
              <w:bottom w:val="single" w:color="auto" w:sz="4" w:space="0"/>
              <w:right w:val="single" w:color="auto" w:sz="4" w:space="0"/>
            </w:tcBorders>
            <w:vAlign w:val="center"/>
          </w:tcPr>
          <w:p w14:paraId="429782DD">
            <w:pPr>
              <w:pStyle w:val="8"/>
              <w:spacing w:before="89" w:line="221" w:lineRule="auto"/>
              <w:ind w:left="104"/>
              <w:jc w:val="center"/>
              <w:rPr>
                <w:sz w:val="24"/>
                <w:szCs w:val="24"/>
              </w:rPr>
            </w:pPr>
            <w:r>
              <w:rPr>
                <w:spacing w:val="-1"/>
                <w:sz w:val="24"/>
                <w:szCs w:val="24"/>
              </w:rPr>
              <w:t>服务期限</w:t>
            </w:r>
          </w:p>
        </w:tc>
        <w:tc>
          <w:tcPr>
            <w:tcW w:w="1431" w:type="dxa"/>
            <w:tcBorders>
              <w:top w:val="single" w:color="auto" w:sz="4" w:space="0"/>
              <w:left w:val="single" w:color="auto" w:sz="4" w:space="0"/>
              <w:bottom w:val="single" w:color="auto" w:sz="4" w:space="0"/>
              <w:right w:val="single" w:color="auto" w:sz="4" w:space="0"/>
            </w:tcBorders>
            <w:vAlign w:val="center"/>
          </w:tcPr>
          <w:p w14:paraId="58285DB5">
            <w:pPr>
              <w:pStyle w:val="8"/>
              <w:spacing w:before="89" w:line="221" w:lineRule="auto"/>
              <w:ind w:left="109"/>
              <w:jc w:val="center"/>
              <w:rPr>
                <w:sz w:val="24"/>
                <w:szCs w:val="24"/>
              </w:rPr>
            </w:pPr>
            <w:r>
              <w:rPr>
                <w:spacing w:val="-4"/>
                <w:sz w:val="24"/>
                <w:szCs w:val="24"/>
              </w:rPr>
              <w:t>数量</w:t>
            </w:r>
          </w:p>
        </w:tc>
        <w:tc>
          <w:tcPr>
            <w:tcW w:w="6006" w:type="dxa"/>
            <w:tcBorders>
              <w:top w:val="single" w:color="auto" w:sz="4" w:space="0"/>
              <w:left w:val="single" w:color="auto" w:sz="4" w:space="0"/>
              <w:bottom w:val="single" w:color="auto" w:sz="4" w:space="0"/>
              <w:right w:val="single" w:color="auto" w:sz="4" w:space="0"/>
            </w:tcBorders>
            <w:vAlign w:val="center"/>
          </w:tcPr>
          <w:p w14:paraId="60FD6748">
            <w:pPr>
              <w:pStyle w:val="8"/>
              <w:spacing w:before="88" w:line="220" w:lineRule="auto"/>
              <w:ind w:left="114"/>
              <w:jc w:val="center"/>
              <w:rPr>
                <w:rFonts w:hint="eastAsia" w:eastAsia="宋体"/>
                <w:sz w:val="24"/>
                <w:szCs w:val="24"/>
                <w:lang w:eastAsia="zh-CN"/>
              </w:rPr>
            </w:pPr>
            <w:r>
              <w:rPr>
                <w:rFonts w:hint="eastAsia"/>
                <w:spacing w:val="-6"/>
                <w:sz w:val="24"/>
                <w:szCs w:val="24"/>
                <w:lang w:val="en-US" w:eastAsia="zh-CN"/>
              </w:rPr>
              <w:t>备注</w:t>
            </w:r>
          </w:p>
        </w:tc>
      </w:tr>
      <w:tr w14:paraId="5A649168">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994"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25F2C18B">
            <w:pPr>
              <w:pStyle w:val="8"/>
              <w:spacing w:before="88" w:line="223" w:lineRule="auto"/>
              <w:ind w:left="121" w:leftChars="0"/>
              <w:jc w:val="center"/>
              <w:rPr>
                <w:rFonts w:hint="eastAsia" w:ascii="宋体" w:hAnsi="宋体" w:eastAsia="宋体" w:cs="宋体"/>
                <w:spacing w:val="-7"/>
                <w:kern w:val="2"/>
                <w:sz w:val="22"/>
                <w:szCs w:val="22"/>
                <w:lang w:val="en-US" w:eastAsia="zh-CN" w:bidi="ar-SA"/>
              </w:rPr>
            </w:pPr>
            <w:r>
              <w:rPr>
                <w:rFonts w:hint="eastAsia" w:ascii="宋体" w:hAnsi="宋体" w:eastAsia="宋体" w:cs="宋体"/>
                <w:spacing w:val="-7"/>
                <w:sz w:val="22"/>
                <w:szCs w:val="22"/>
                <w:lang w:val="en-US" w:eastAsia="zh-CN"/>
              </w:rPr>
              <w:t>1</w:t>
            </w:r>
          </w:p>
        </w:tc>
        <w:tc>
          <w:tcPr>
            <w:tcW w:w="3591" w:type="dxa"/>
            <w:tcBorders>
              <w:top w:val="single" w:color="auto" w:sz="4" w:space="0"/>
              <w:left w:val="single" w:color="auto" w:sz="4" w:space="0"/>
              <w:bottom w:val="single" w:color="auto" w:sz="4" w:space="0"/>
              <w:right w:val="single" w:color="auto" w:sz="4" w:space="0"/>
            </w:tcBorders>
            <w:vAlign w:val="center"/>
          </w:tcPr>
          <w:p w14:paraId="6A07184B">
            <w:pPr>
              <w:pStyle w:val="8"/>
              <w:spacing w:before="89" w:line="221" w:lineRule="auto"/>
              <w:ind w:left="100"/>
              <w:jc w:val="center"/>
              <w:rPr>
                <w:rFonts w:hint="default" w:ascii="宋体" w:hAnsi="宋体" w:eastAsia="宋体" w:cs="宋体"/>
                <w:spacing w:val="-1"/>
                <w:sz w:val="24"/>
                <w:szCs w:val="24"/>
                <w:lang w:val="en-US"/>
              </w:rPr>
            </w:pPr>
            <w:r>
              <w:rPr>
                <w:rFonts w:hint="eastAsia" w:ascii="宋体" w:hAnsi="宋体" w:eastAsia="宋体" w:cs="宋体"/>
                <w:bCs/>
                <w:color w:val="auto"/>
                <w:sz w:val="24"/>
                <w:lang w:val="en-US" w:eastAsia="zh-CN"/>
              </w:rPr>
              <w:t>完善</w:t>
            </w:r>
            <w:r>
              <w:rPr>
                <w:rFonts w:hint="eastAsia" w:cs="宋体"/>
                <w:bCs/>
                <w:color w:val="auto"/>
                <w:sz w:val="24"/>
                <w:lang w:val="en-US" w:eastAsia="zh-CN"/>
              </w:rPr>
              <w:t>安全生产标准化文件</w:t>
            </w:r>
          </w:p>
        </w:tc>
        <w:tc>
          <w:tcPr>
            <w:tcW w:w="729" w:type="dxa"/>
            <w:tcBorders>
              <w:top w:val="single" w:color="auto" w:sz="4" w:space="0"/>
              <w:left w:val="single" w:color="auto" w:sz="4" w:space="0"/>
              <w:bottom w:val="single" w:color="auto" w:sz="4" w:space="0"/>
              <w:right w:val="single" w:color="auto" w:sz="4" w:space="0"/>
            </w:tcBorders>
            <w:vAlign w:val="center"/>
          </w:tcPr>
          <w:p w14:paraId="0B219CBB">
            <w:pPr>
              <w:pStyle w:val="8"/>
              <w:spacing w:before="89" w:line="221" w:lineRule="auto"/>
              <w:ind w:left="104"/>
              <w:jc w:val="center"/>
              <w:rPr>
                <w:spacing w:val="-1"/>
                <w:sz w:val="24"/>
                <w:szCs w:val="24"/>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25A1077D">
            <w:pPr>
              <w:pStyle w:val="8"/>
              <w:spacing w:before="88" w:line="223" w:lineRule="auto"/>
              <w:ind w:left="121" w:leftChars="0"/>
              <w:jc w:val="center"/>
              <w:rPr>
                <w:rFonts w:hint="eastAsia" w:cs="宋体"/>
                <w:spacing w:val="-7"/>
                <w:sz w:val="22"/>
                <w:szCs w:val="22"/>
                <w:lang w:val="en-US" w:eastAsia="zh-CN"/>
              </w:rPr>
            </w:pPr>
            <w:r>
              <w:rPr>
                <w:rFonts w:hint="eastAsia" w:cs="宋体"/>
                <w:spacing w:val="-7"/>
                <w:sz w:val="22"/>
                <w:szCs w:val="22"/>
                <w:lang w:val="en-US" w:eastAsia="zh-CN"/>
              </w:rPr>
              <w:t>1</w:t>
            </w:r>
          </w:p>
        </w:tc>
        <w:tc>
          <w:tcPr>
            <w:tcW w:w="6006" w:type="dxa"/>
            <w:tcBorders>
              <w:top w:val="single" w:color="auto" w:sz="4" w:space="0"/>
              <w:left w:val="single" w:color="auto" w:sz="4" w:space="0"/>
              <w:bottom w:val="single" w:color="auto" w:sz="4" w:space="0"/>
              <w:right w:val="single" w:color="auto" w:sz="4" w:space="0"/>
            </w:tcBorders>
            <w:vAlign w:val="center"/>
          </w:tcPr>
          <w:p w14:paraId="1006F783">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依据GBT33000-2016《企业安全生产标准化基本规范》；医院地址变更整套文件需变更</w:t>
            </w:r>
          </w:p>
        </w:tc>
      </w:tr>
      <w:tr w14:paraId="2434C7DF">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913"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0638F017">
            <w:pPr>
              <w:pStyle w:val="8"/>
              <w:spacing w:before="88" w:line="223" w:lineRule="auto"/>
              <w:ind w:left="121" w:leftChars="0"/>
              <w:jc w:val="center"/>
              <w:rPr>
                <w:rFonts w:hint="eastAsia" w:ascii="宋体" w:hAnsi="宋体" w:eastAsia="宋体" w:cs="宋体"/>
                <w:spacing w:val="-7"/>
                <w:kern w:val="2"/>
                <w:sz w:val="22"/>
                <w:szCs w:val="22"/>
                <w:lang w:val="en-US" w:eastAsia="zh-CN" w:bidi="ar-SA"/>
              </w:rPr>
            </w:pPr>
            <w:r>
              <w:rPr>
                <w:rFonts w:hint="eastAsia" w:ascii="宋体" w:hAnsi="宋体" w:eastAsia="宋体" w:cs="宋体"/>
                <w:spacing w:val="-7"/>
                <w:sz w:val="22"/>
                <w:szCs w:val="22"/>
                <w:lang w:val="en-US" w:eastAsia="zh-CN"/>
              </w:rPr>
              <w:t>2</w:t>
            </w:r>
          </w:p>
        </w:tc>
        <w:tc>
          <w:tcPr>
            <w:tcW w:w="3591" w:type="dxa"/>
            <w:tcBorders>
              <w:top w:val="single" w:color="auto" w:sz="4" w:space="0"/>
              <w:left w:val="single" w:color="auto" w:sz="4" w:space="0"/>
              <w:bottom w:val="single" w:color="auto" w:sz="4" w:space="0"/>
              <w:right w:val="single" w:color="auto" w:sz="4" w:space="0"/>
            </w:tcBorders>
            <w:vAlign w:val="center"/>
          </w:tcPr>
          <w:p w14:paraId="06595422">
            <w:pPr>
              <w:keepNext w:val="0"/>
              <w:keepLines w:val="0"/>
              <w:widowControl/>
              <w:suppressLineNumbers w:val="0"/>
              <w:jc w:val="center"/>
              <w:rPr>
                <w:rFonts w:hint="default" w:ascii="宋体" w:hAnsi="宋体" w:eastAsia="宋体" w:cs="宋体"/>
                <w:bCs/>
                <w:color w:val="auto"/>
                <w:sz w:val="24"/>
                <w:lang w:val="en-US" w:eastAsia="zh-CN"/>
              </w:rPr>
            </w:pPr>
            <w:r>
              <w:rPr>
                <w:rFonts w:hint="eastAsia" w:ascii="宋体" w:hAnsi="宋体" w:eastAsia="宋体" w:cs="宋体"/>
                <w:bCs/>
                <w:color w:val="auto"/>
                <w:kern w:val="2"/>
                <w:sz w:val="24"/>
                <w:szCs w:val="19"/>
                <w:lang w:val="en-US" w:eastAsia="zh-CN" w:bidi="ar-SA"/>
              </w:rPr>
              <w:t>建立完善深圳市医疗机构消防安全标准化建设，编制医院消防档案</w:t>
            </w:r>
          </w:p>
        </w:tc>
        <w:tc>
          <w:tcPr>
            <w:tcW w:w="729" w:type="dxa"/>
            <w:tcBorders>
              <w:top w:val="single" w:color="auto" w:sz="4" w:space="0"/>
              <w:left w:val="single" w:color="auto" w:sz="4" w:space="0"/>
              <w:bottom w:val="single" w:color="auto" w:sz="4" w:space="0"/>
              <w:right w:val="single" w:color="auto" w:sz="4" w:space="0"/>
            </w:tcBorders>
            <w:vAlign w:val="center"/>
          </w:tcPr>
          <w:p w14:paraId="510208AC">
            <w:pPr>
              <w:pStyle w:val="8"/>
              <w:spacing w:before="89" w:line="221" w:lineRule="auto"/>
              <w:ind w:left="104"/>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62286305">
            <w:pPr>
              <w:pStyle w:val="8"/>
              <w:spacing w:before="88" w:line="223" w:lineRule="auto"/>
              <w:ind w:left="121" w:leftChars="0"/>
              <w:jc w:val="center"/>
              <w:rPr>
                <w:rFonts w:hint="eastAsia" w:cs="宋体"/>
                <w:spacing w:val="-7"/>
                <w:sz w:val="22"/>
                <w:szCs w:val="22"/>
                <w:lang w:val="en-US" w:eastAsia="zh-CN"/>
              </w:rPr>
            </w:pPr>
            <w:r>
              <w:rPr>
                <w:rFonts w:hint="eastAsia" w:cs="宋体"/>
                <w:spacing w:val="-7"/>
                <w:sz w:val="22"/>
                <w:szCs w:val="22"/>
                <w:lang w:val="en-US" w:eastAsia="zh-CN"/>
              </w:rPr>
              <w:t>1</w:t>
            </w:r>
          </w:p>
        </w:tc>
        <w:tc>
          <w:tcPr>
            <w:tcW w:w="6006" w:type="dxa"/>
            <w:tcBorders>
              <w:top w:val="single" w:color="auto" w:sz="4" w:space="0"/>
              <w:left w:val="single" w:color="auto" w:sz="4" w:space="0"/>
              <w:bottom w:val="single" w:color="auto" w:sz="4" w:space="0"/>
              <w:right w:val="single" w:color="auto" w:sz="4" w:space="0"/>
            </w:tcBorders>
            <w:vAlign w:val="center"/>
          </w:tcPr>
          <w:p w14:paraId="3C0134FB">
            <w:pPr>
              <w:keepNext w:val="0"/>
              <w:keepLines w:val="0"/>
              <w:widowControl/>
              <w:suppressLineNumbers w:val="0"/>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依据《市卫生健康委 市消防救援支队关于印发</w:t>
            </w:r>
            <w:r>
              <w:rPr>
                <w:rFonts w:hint="default" w:ascii="宋体" w:hAnsi="宋体" w:eastAsia="宋体" w:cs="宋体"/>
                <w:spacing w:val="-6"/>
                <w:kern w:val="2"/>
                <w:sz w:val="24"/>
                <w:szCs w:val="24"/>
                <w:lang w:val="en-US" w:eastAsia="zh-CN" w:bidi="ar-SA"/>
              </w:rPr>
              <w:t>深圳市医疗机构消防安全标准化建设 指引（2024年版）的通知</w:t>
            </w:r>
            <w:r>
              <w:rPr>
                <w:rFonts w:hint="eastAsia" w:ascii="宋体" w:hAnsi="宋体" w:eastAsia="宋体" w:cs="宋体"/>
                <w:spacing w:val="-6"/>
                <w:kern w:val="2"/>
                <w:sz w:val="24"/>
                <w:szCs w:val="24"/>
                <w:lang w:val="en-US" w:eastAsia="zh-CN" w:bidi="ar-SA"/>
              </w:rPr>
              <w:t>》</w:t>
            </w:r>
          </w:p>
        </w:tc>
      </w:tr>
      <w:tr w14:paraId="23DFB69C">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948"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5B9DA3E0">
            <w:pPr>
              <w:pStyle w:val="8"/>
              <w:spacing w:before="88" w:line="223" w:lineRule="auto"/>
              <w:ind w:left="121" w:leftChars="0"/>
              <w:jc w:val="center"/>
              <w:rPr>
                <w:rFonts w:hint="eastAsia" w:ascii="宋体" w:hAnsi="宋体" w:eastAsia="宋体" w:cs="宋体"/>
                <w:spacing w:val="-7"/>
                <w:kern w:val="2"/>
                <w:sz w:val="22"/>
                <w:szCs w:val="22"/>
                <w:lang w:val="en-US" w:eastAsia="zh-CN" w:bidi="ar-SA"/>
              </w:rPr>
            </w:pPr>
            <w:r>
              <w:rPr>
                <w:rFonts w:hint="eastAsia" w:ascii="宋体" w:hAnsi="宋体" w:eastAsia="宋体" w:cs="宋体"/>
                <w:spacing w:val="-7"/>
                <w:sz w:val="22"/>
                <w:szCs w:val="22"/>
                <w:lang w:val="en-US" w:eastAsia="zh-CN"/>
              </w:rPr>
              <w:t>3</w:t>
            </w:r>
          </w:p>
        </w:tc>
        <w:tc>
          <w:tcPr>
            <w:tcW w:w="3591" w:type="dxa"/>
            <w:tcBorders>
              <w:top w:val="single" w:color="auto" w:sz="4" w:space="0"/>
              <w:left w:val="single" w:color="auto" w:sz="4" w:space="0"/>
              <w:bottom w:val="single" w:color="auto" w:sz="4" w:space="0"/>
              <w:right w:val="single" w:color="auto" w:sz="4" w:space="0"/>
            </w:tcBorders>
            <w:vAlign w:val="center"/>
          </w:tcPr>
          <w:p w14:paraId="3F51F1D4">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bCs/>
                <w:color w:val="auto"/>
                <w:kern w:val="2"/>
                <w:sz w:val="24"/>
                <w:szCs w:val="19"/>
                <w:lang w:val="en-US" w:eastAsia="zh-CN" w:bidi="ar-SA"/>
              </w:rPr>
              <w:t>完善、修改应急预案</w:t>
            </w:r>
          </w:p>
        </w:tc>
        <w:tc>
          <w:tcPr>
            <w:tcW w:w="729" w:type="dxa"/>
            <w:tcBorders>
              <w:top w:val="single" w:color="auto" w:sz="4" w:space="0"/>
              <w:left w:val="single" w:color="auto" w:sz="4" w:space="0"/>
              <w:bottom w:val="single" w:color="auto" w:sz="4" w:space="0"/>
              <w:right w:val="single" w:color="auto" w:sz="4" w:space="0"/>
            </w:tcBorders>
            <w:vAlign w:val="center"/>
          </w:tcPr>
          <w:p w14:paraId="7CFF9129">
            <w:pPr>
              <w:pStyle w:val="8"/>
              <w:spacing w:before="88" w:line="223" w:lineRule="auto"/>
              <w:ind w:left="121" w:leftChars="0"/>
              <w:jc w:val="center"/>
              <w:rPr>
                <w:rFonts w:hint="default"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75BDCE81">
            <w:pPr>
              <w:pStyle w:val="8"/>
              <w:spacing w:before="88" w:line="223" w:lineRule="auto"/>
              <w:ind w:left="121" w:leftChars="0"/>
              <w:jc w:val="center"/>
              <w:rPr>
                <w:rFonts w:hint="eastAsia" w:cs="宋体"/>
                <w:spacing w:val="-7"/>
                <w:sz w:val="22"/>
                <w:szCs w:val="22"/>
                <w:lang w:val="en-US" w:eastAsia="zh-CN"/>
              </w:rPr>
            </w:pPr>
            <w:r>
              <w:rPr>
                <w:rFonts w:hint="eastAsia" w:cs="宋体"/>
                <w:spacing w:val="-7"/>
                <w:sz w:val="22"/>
                <w:szCs w:val="22"/>
                <w:lang w:val="en-US" w:eastAsia="zh-CN"/>
              </w:rPr>
              <w:t>1</w:t>
            </w:r>
          </w:p>
        </w:tc>
        <w:tc>
          <w:tcPr>
            <w:tcW w:w="6006" w:type="dxa"/>
            <w:tcBorders>
              <w:top w:val="single" w:color="auto" w:sz="4" w:space="0"/>
              <w:left w:val="single" w:color="auto" w:sz="4" w:space="0"/>
              <w:bottom w:val="single" w:color="auto" w:sz="4" w:space="0"/>
              <w:right w:val="single" w:color="auto" w:sz="4" w:space="0"/>
            </w:tcBorders>
            <w:vAlign w:val="center"/>
          </w:tcPr>
          <w:p w14:paraId="1C788372">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依据GB/T29639-2020《生产经营单位生产安全事故应急预案编制导则》；医院地址变更整套文件需变更</w:t>
            </w:r>
          </w:p>
        </w:tc>
      </w:tr>
      <w:tr w14:paraId="34DCB7A6">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177"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787FD394">
            <w:pPr>
              <w:pStyle w:val="8"/>
              <w:spacing w:before="88" w:line="223" w:lineRule="auto"/>
              <w:ind w:left="121" w:leftChars="0"/>
              <w:jc w:val="center"/>
              <w:rPr>
                <w:rFonts w:hint="default" w:ascii="宋体" w:hAnsi="宋体" w:eastAsia="宋体" w:cs="宋体"/>
                <w:spacing w:val="-7"/>
                <w:kern w:val="2"/>
                <w:sz w:val="22"/>
                <w:szCs w:val="22"/>
                <w:lang w:val="en-US" w:eastAsia="zh-CN" w:bidi="ar-SA"/>
              </w:rPr>
            </w:pPr>
            <w:r>
              <w:rPr>
                <w:rFonts w:hint="eastAsia" w:ascii="宋体" w:hAnsi="宋体" w:eastAsia="宋体" w:cs="宋体"/>
                <w:spacing w:val="-7"/>
                <w:sz w:val="22"/>
                <w:szCs w:val="22"/>
                <w:lang w:val="en-US" w:eastAsia="zh-CN"/>
              </w:rPr>
              <w:t>4</w:t>
            </w:r>
          </w:p>
        </w:tc>
        <w:tc>
          <w:tcPr>
            <w:tcW w:w="3591" w:type="dxa"/>
            <w:tcBorders>
              <w:top w:val="single" w:color="auto" w:sz="4" w:space="0"/>
              <w:left w:val="single" w:color="auto" w:sz="4" w:space="0"/>
              <w:bottom w:val="single" w:color="auto" w:sz="4" w:space="0"/>
              <w:right w:val="single" w:color="auto" w:sz="4" w:space="0"/>
            </w:tcBorders>
            <w:vAlign w:val="center"/>
          </w:tcPr>
          <w:p w14:paraId="1F7BED46">
            <w:pPr>
              <w:pStyle w:val="8"/>
              <w:spacing w:before="88" w:line="223" w:lineRule="auto"/>
              <w:ind w:left="121" w:leftChars="0"/>
              <w:jc w:val="center"/>
              <w:rPr>
                <w:rFonts w:hint="eastAsia"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根据预案内容，协助、指导院方开展应急演练</w:t>
            </w:r>
            <w:r>
              <w:rPr>
                <w:rFonts w:hint="eastAsia" w:cs="宋体"/>
                <w:bCs/>
                <w:color w:val="auto"/>
                <w:kern w:val="2"/>
                <w:sz w:val="24"/>
                <w:szCs w:val="19"/>
                <w:lang w:val="en-US" w:eastAsia="zh-CN" w:bidi="ar-SA"/>
              </w:rPr>
              <w:t>4</w:t>
            </w:r>
            <w:r>
              <w:rPr>
                <w:rFonts w:hint="eastAsia" w:ascii="宋体" w:hAnsi="宋体" w:eastAsia="宋体" w:cs="宋体"/>
                <w:bCs/>
                <w:color w:val="auto"/>
                <w:kern w:val="2"/>
                <w:sz w:val="24"/>
                <w:szCs w:val="19"/>
                <w:lang w:val="en-US" w:eastAsia="zh-CN" w:bidi="ar-SA"/>
              </w:rPr>
              <w:t>次</w:t>
            </w:r>
          </w:p>
        </w:tc>
        <w:tc>
          <w:tcPr>
            <w:tcW w:w="729" w:type="dxa"/>
            <w:tcBorders>
              <w:top w:val="single" w:color="auto" w:sz="4" w:space="0"/>
              <w:left w:val="single" w:color="auto" w:sz="4" w:space="0"/>
              <w:bottom w:val="single" w:color="auto" w:sz="4" w:space="0"/>
              <w:right w:val="single" w:color="auto" w:sz="4" w:space="0"/>
            </w:tcBorders>
            <w:vAlign w:val="center"/>
          </w:tcPr>
          <w:p w14:paraId="54A144E1">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35B7DCE7">
            <w:pPr>
              <w:pStyle w:val="8"/>
              <w:spacing w:before="88" w:line="223" w:lineRule="auto"/>
              <w:ind w:left="121" w:leftChars="0"/>
              <w:jc w:val="center"/>
              <w:rPr>
                <w:rFonts w:hint="default" w:cs="宋体"/>
                <w:spacing w:val="-7"/>
                <w:sz w:val="22"/>
                <w:szCs w:val="22"/>
                <w:lang w:val="en-US" w:eastAsia="zh-CN"/>
              </w:rPr>
            </w:pPr>
            <w:r>
              <w:rPr>
                <w:rFonts w:hint="eastAsia" w:cs="宋体"/>
                <w:spacing w:val="-7"/>
                <w:sz w:val="22"/>
                <w:szCs w:val="22"/>
                <w:lang w:val="en-US" w:eastAsia="zh-CN"/>
              </w:rPr>
              <w:t>4</w:t>
            </w:r>
          </w:p>
        </w:tc>
        <w:tc>
          <w:tcPr>
            <w:tcW w:w="6006" w:type="dxa"/>
            <w:tcBorders>
              <w:top w:val="single" w:color="auto" w:sz="4" w:space="0"/>
              <w:left w:val="single" w:color="auto" w:sz="4" w:space="0"/>
              <w:bottom w:val="single" w:color="auto" w:sz="4" w:space="0"/>
              <w:right w:val="single" w:color="auto" w:sz="4" w:space="0"/>
            </w:tcBorders>
            <w:vAlign w:val="center"/>
          </w:tcPr>
          <w:p w14:paraId="05031820">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提供演练方案、脚本</w:t>
            </w:r>
          </w:p>
        </w:tc>
      </w:tr>
      <w:tr w14:paraId="609B7EA2">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355"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516A852F">
            <w:pPr>
              <w:pStyle w:val="8"/>
              <w:spacing w:before="88" w:line="223" w:lineRule="auto"/>
              <w:ind w:left="121" w:leftChars="0"/>
              <w:jc w:val="center"/>
              <w:rPr>
                <w:rFonts w:hint="default" w:ascii="宋体" w:hAnsi="宋体" w:eastAsia="宋体" w:cs="宋体"/>
                <w:spacing w:val="-7"/>
                <w:kern w:val="2"/>
                <w:sz w:val="22"/>
                <w:szCs w:val="22"/>
                <w:lang w:val="en-US" w:eastAsia="zh-CN" w:bidi="ar-SA"/>
              </w:rPr>
            </w:pPr>
            <w:r>
              <w:rPr>
                <w:rFonts w:hint="eastAsia" w:ascii="宋体" w:hAnsi="宋体" w:eastAsia="宋体" w:cs="宋体"/>
                <w:spacing w:val="-7"/>
                <w:sz w:val="22"/>
                <w:szCs w:val="22"/>
                <w:lang w:val="en-US" w:eastAsia="zh-CN"/>
              </w:rPr>
              <w:t>5</w:t>
            </w:r>
          </w:p>
        </w:tc>
        <w:tc>
          <w:tcPr>
            <w:tcW w:w="3591" w:type="dxa"/>
            <w:tcBorders>
              <w:top w:val="single" w:color="auto" w:sz="4" w:space="0"/>
              <w:left w:val="single" w:color="auto" w:sz="4" w:space="0"/>
              <w:bottom w:val="single" w:color="auto" w:sz="4" w:space="0"/>
              <w:right w:val="single" w:color="auto" w:sz="4" w:space="0"/>
            </w:tcBorders>
            <w:vAlign w:val="center"/>
          </w:tcPr>
          <w:p w14:paraId="4B4F60C3">
            <w:pPr>
              <w:pStyle w:val="8"/>
              <w:spacing w:before="88" w:line="223" w:lineRule="auto"/>
              <w:ind w:left="121" w:leftChars="0"/>
              <w:jc w:val="center"/>
              <w:rPr>
                <w:rFonts w:hint="eastAsia"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协助、指导院方组织制定并实施本单位安全生产教育和培训计划</w:t>
            </w:r>
          </w:p>
        </w:tc>
        <w:tc>
          <w:tcPr>
            <w:tcW w:w="729" w:type="dxa"/>
            <w:tcBorders>
              <w:top w:val="single" w:color="auto" w:sz="4" w:space="0"/>
              <w:left w:val="single" w:color="auto" w:sz="4" w:space="0"/>
              <w:bottom w:val="single" w:color="auto" w:sz="4" w:space="0"/>
              <w:right w:val="single" w:color="auto" w:sz="4" w:space="0"/>
            </w:tcBorders>
            <w:vAlign w:val="center"/>
          </w:tcPr>
          <w:p w14:paraId="4111E4A0">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1BD57F71">
            <w:pPr>
              <w:pStyle w:val="8"/>
              <w:spacing w:before="88" w:line="223" w:lineRule="auto"/>
              <w:ind w:left="121" w:leftChars="0"/>
              <w:jc w:val="center"/>
              <w:rPr>
                <w:rFonts w:hint="default" w:ascii="宋体" w:hAnsi="宋体" w:eastAsia="宋体" w:cs="宋体"/>
                <w:spacing w:val="-7"/>
                <w:sz w:val="22"/>
                <w:szCs w:val="22"/>
                <w:lang w:val="en-US" w:eastAsia="zh-CN"/>
              </w:rPr>
            </w:pPr>
            <w:r>
              <w:rPr>
                <w:rFonts w:hint="eastAsia" w:cs="宋体"/>
                <w:spacing w:val="-7"/>
                <w:sz w:val="22"/>
                <w:szCs w:val="22"/>
                <w:lang w:val="en-US" w:eastAsia="zh-CN"/>
              </w:rPr>
              <w:t>4</w:t>
            </w:r>
          </w:p>
        </w:tc>
        <w:tc>
          <w:tcPr>
            <w:tcW w:w="6006" w:type="dxa"/>
            <w:tcBorders>
              <w:top w:val="single" w:color="auto" w:sz="4" w:space="0"/>
              <w:left w:val="single" w:color="auto" w:sz="4" w:space="0"/>
              <w:bottom w:val="single" w:color="auto" w:sz="4" w:space="0"/>
              <w:right w:val="single" w:color="auto" w:sz="4" w:space="0"/>
            </w:tcBorders>
            <w:vAlign w:val="center"/>
          </w:tcPr>
          <w:p w14:paraId="7B7C5869">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培训讲师需持注册安全工程师证或安全培训教师证</w:t>
            </w:r>
          </w:p>
        </w:tc>
      </w:tr>
      <w:tr w14:paraId="04B364FF">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PrEx>
        <w:trPr>
          <w:trHeight w:val="1653"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15A32EDB">
            <w:pPr>
              <w:pStyle w:val="8"/>
              <w:spacing w:before="88" w:line="223" w:lineRule="auto"/>
              <w:ind w:left="121" w:leftChars="0"/>
              <w:jc w:val="center"/>
              <w:rPr>
                <w:rFonts w:hint="default" w:ascii="宋体" w:hAnsi="宋体" w:eastAsia="宋体" w:cs="宋体"/>
                <w:spacing w:val="-7"/>
                <w:kern w:val="2"/>
                <w:sz w:val="22"/>
                <w:szCs w:val="22"/>
                <w:lang w:val="en-US" w:eastAsia="zh-CN" w:bidi="ar-SA"/>
              </w:rPr>
            </w:pPr>
            <w:r>
              <w:rPr>
                <w:rFonts w:hint="eastAsia" w:cs="宋体"/>
                <w:spacing w:val="-7"/>
                <w:sz w:val="22"/>
                <w:szCs w:val="22"/>
                <w:lang w:val="en-US" w:eastAsia="zh-CN"/>
              </w:rPr>
              <w:t>6</w:t>
            </w:r>
          </w:p>
        </w:tc>
        <w:tc>
          <w:tcPr>
            <w:tcW w:w="3591" w:type="dxa"/>
            <w:tcBorders>
              <w:top w:val="single" w:color="auto" w:sz="4" w:space="0"/>
              <w:left w:val="single" w:color="auto" w:sz="4" w:space="0"/>
              <w:bottom w:val="single" w:color="auto" w:sz="4" w:space="0"/>
              <w:right w:val="single" w:color="auto" w:sz="4" w:space="0"/>
            </w:tcBorders>
            <w:vAlign w:val="center"/>
          </w:tcPr>
          <w:p w14:paraId="6BDBF339">
            <w:pPr>
              <w:pStyle w:val="8"/>
              <w:spacing w:before="88" w:line="223" w:lineRule="auto"/>
              <w:ind w:left="121" w:leftChars="0"/>
              <w:jc w:val="center"/>
              <w:rPr>
                <w:rFonts w:hint="default"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每季度对医院开展一次全面的安全生产检查并协助医院完成每年安全生产</w:t>
            </w:r>
            <w:r>
              <w:rPr>
                <w:rFonts w:hint="eastAsia" w:cs="宋体"/>
                <w:bCs/>
                <w:color w:val="auto"/>
                <w:kern w:val="2"/>
                <w:sz w:val="24"/>
                <w:szCs w:val="19"/>
                <w:lang w:val="en-US" w:eastAsia="zh-CN" w:bidi="ar-SA"/>
              </w:rPr>
              <w:t>、</w:t>
            </w:r>
            <w:r>
              <w:rPr>
                <w:rFonts w:hint="eastAsia" w:ascii="宋体" w:hAnsi="宋体" w:eastAsia="宋体" w:cs="宋体"/>
                <w:bCs/>
                <w:color w:val="auto"/>
                <w:kern w:val="2"/>
                <w:sz w:val="24"/>
                <w:szCs w:val="19"/>
                <w:lang w:val="en-US" w:eastAsia="zh-CN" w:bidi="ar-SA"/>
              </w:rPr>
              <w:t>消防</w:t>
            </w:r>
            <w:r>
              <w:rPr>
                <w:rFonts w:hint="eastAsia" w:cs="宋体"/>
                <w:bCs/>
                <w:color w:val="auto"/>
                <w:kern w:val="2"/>
                <w:sz w:val="24"/>
                <w:szCs w:val="19"/>
                <w:lang w:val="en-US" w:eastAsia="zh-CN" w:bidi="ar-SA"/>
              </w:rPr>
              <w:t>和三防</w:t>
            </w:r>
            <w:r>
              <w:rPr>
                <w:rFonts w:hint="eastAsia" w:ascii="宋体" w:hAnsi="宋体" w:eastAsia="宋体" w:cs="宋体"/>
                <w:bCs/>
                <w:color w:val="auto"/>
                <w:kern w:val="2"/>
                <w:sz w:val="24"/>
                <w:szCs w:val="19"/>
                <w:lang w:val="en-US" w:eastAsia="zh-CN" w:bidi="ar-SA"/>
              </w:rPr>
              <w:t>工作责任书年终考核以及责任书的编制</w:t>
            </w:r>
          </w:p>
        </w:tc>
        <w:tc>
          <w:tcPr>
            <w:tcW w:w="729" w:type="dxa"/>
            <w:tcBorders>
              <w:top w:val="single" w:color="auto" w:sz="4" w:space="0"/>
              <w:left w:val="single" w:color="auto" w:sz="4" w:space="0"/>
              <w:bottom w:val="single" w:color="auto" w:sz="4" w:space="0"/>
              <w:right w:val="single" w:color="auto" w:sz="4" w:space="0"/>
            </w:tcBorders>
            <w:vAlign w:val="center"/>
          </w:tcPr>
          <w:p w14:paraId="407571E0">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4E494C71">
            <w:pPr>
              <w:pStyle w:val="8"/>
              <w:spacing w:before="88" w:line="223" w:lineRule="auto"/>
              <w:ind w:left="121" w:leftChars="0"/>
              <w:jc w:val="center"/>
              <w:rPr>
                <w:rFonts w:hint="default"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4</w:t>
            </w:r>
          </w:p>
        </w:tc>
        <w:tc>
          <w:tcPr>
            <w:tcW w:w="6006" w:type="dxa"/>
            <w:tcBorders>
              <w:top w:val="single" w:color="auto" w:sz="4" w:space="0"/>
              <w:left w:val="single" w:color="auto" w:sz="4" w:space="0"/>
              <w:bottom w:val="single" w:color="auto" w:sz="4" w:space="0"/>
              <w:right w:val="single" w:color="auto" w:sz="4" w:space="0"/>
            </w:tcBorders>
            <w:vAlign w:val="center"/>
          </w:tcPr>
          <w:p w14:paraId="17D6F7AD">
            <w:pPr>
              <w:pStyle w:val="8"/>
              <w:spacing w:before="88" w:line="220" w:lineRule="auto"/>
              <w:ind w:left="114"/>
              <w:jc w:val="left"/>
              <w:rPr>
                <w:rFonts w:hint="eastAsia"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依据DB4403T 5—2019《企业安全风险分级管控和隐患排查治理 双重预防机制建设通则》</w:t>
            </w:r>
          </w:p>
        </w:tc>
      </w:tr>
      <w:tr w14:paraId="5362BA36">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057"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5860F133">
            <w:pPr>
              <w:pStyle w:val="8"/>
              <w:spacing w:before="88" w:line="223" w:lineRule="auto"/>
              <w:ind w:left="121" w:leftChars="0"/>
              <w:jc w:val="center"/>
              <w:rPr>
                <w:rFonts w:hint="default" w:cs="宋体"/>
                <w:spacing w:val="-7"/>
                <w:sz w:val="22"/>
                <w:szCs w:val="22"/>
                <w:lang w:val="en-US" w:eastAsia="zh-CN"/>
              </w:rPr>
            </w:pPr>
            <w:r>
              <w:rPr>
                <w:rFonts w:hint="eastAsia" w:cs="宋体"/>
                <w:spacing w:val="-7"/>
                <w:sz w:val="22"/>
                <w:szCs w:val="22"/>
                <w:lang w:val="en-US" w:eastAsia="zh-CN"/>
              </w:rPr>
              <w:t>7</w:t>
            </w:r>
          </w:p>
        </w:tc>
        <w:tc>
          <w:tcPr>
            <w:tcW w:w="3591" w:type="dxa"/>
            <w:tcBorders>
              <w:top w:val="single" w:color="auto" w:sz="4" w:space="0"/>
              <w:left w:val="single" w:color="auto" w:sz="4" w:space="0"/>
              <w:bottom w:val="single" w:color="auto" w:sz="4" w:space="0"/>
              <w:right w:val="single" w:color="auto" w:sz="4" w:space="0"/>
            </w:tcBorders>
            <w:vAlign w:val="center"/>
          </w:tcPr>
          <w:p w14:paraId="45C3677A">
            <w:pPr>
              <w:pStyle w:val="8"/>
              <w:spacing w:before="88" w:line="223" w:lineRule="auto"/>
              <w:ind w:left="121" w:leftChars="0"/>
              <w:jc w:val="center"/>
              <w:rPr>
                <w:rFonts w:hint="default"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编制季度检查报告</w:t>
            </w:r>
          </w:p>
        </w:tc>
        <w:tc>
          <w:tcPr>
            <w:tcW w:w="729" w:type="dxa"/>
            <w:tcBorders>
              <w:top w:val="single" w:color="auto" w:sz="4" w:space="0"/>
              <w:left w:val="single" w:color="auto" w:sz="4" w:space="0"/>
              <w:bottom w:val="single" w:color="auto" w:sz="4" w:space="0"/>
              <w:right w:val="single" w:color="auto" w:sz="4" w:space="0"/>
            </w:tcBorders>
            <w:vAlign w:val="center"/>
          </w:tcPr>
          <w:p w14:paraId="1CDD44C2">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7EA7FE2B">
            <w:pPr>
              <w:pStyle w:val="8"/>
              <w:spacing w:before="88" w:line="223" w:lineRule="auto"/>
              <w:ind w:left="121" w:leftChars="0"/>
              <w:jc w:val="center"/>
              <w:rPr>
                <w:rFonts w:hint="default" w:ascii="宋体" w:hAnsi="宋体" w:eastAsia="宋体" w:cs="宋体"/>
                <w:spacing w:val="-7"/>
                <w:sz w:val="22"/>
                <w:szCs w:val="22"/>
                <w:lang w:val="en-US" w:eastAsia="zh-CN"/>
              </w:rPr>
            </w:pPr>
            <w:r>
              <w:rPr>
                <w:rFonts w:hint="eastAsia" w:cs="宋体"/>
                <w:spacing w:val="-7"/>
                <w:sz w:val="22"/>
                <w:szCs w:val="22"/>
                <w:lang w:val="en-US" w:eastAsia="zh-CN"/>
              </w:rPr>
              <w:t>4</w:t>
            </w:r>
          </w:p>
        </w:tc>
        <w:tc>
          <w:tcPr>
            <w:tcW w:w="6006" w:type="dxa"/>
            <w:tcBorders>
              <w:top w:val="single" w:color="auto" w:sz="4" w:space="0"/>
              <w:left w:val="single" w:color="auto" w:sz="4" w:space="0"/>
              <w:bottom w:val="single" w:color="auto" w:sz="4" w:space="0"/>
              <w:right w:val="single" w:color="auto" w:sz="4" w:space="0"/>
            </w:tcBorders>
            <w:vAlign w:val="center"/>
          </w:tcPr>
          <w:p w14:paraId="311E0920">
            <w:pPr>
              <w:pStyle w:val="8"/>
              <w:spacing w:before="88" w:line="220" w:lineRule="auto"/>
              <w:ind w:left="114"/>
              <w:jc w:val="center"/>
              <w:rPr>
                <w:rFonts w:hint="eastAsia"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w:t>
            </w:r>
          </w:p>
        </w:tc>
      </w:tr>
      <w:tr w14:paraId="67DCCF87">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057" w:hRule="atLeast"/>
          <w:jc w:val="center"/>
        </w:trPr>
        <w:tc>
          <w:tcPr>
            <w:tcW w:w="616" w:type="dxa"/>
            <w:tcBorders>
              <w:top w:val="single" w:color="auto" w:sz="4" w:space="0"/>
              <w:left w:val="single" w:color="auto" w:sz="4" w:space="0"/>
              <w:bottom w:val="single" w:color="auto" w:sz="4" w:space="0"/>
              <w:right w:val="single" w:color="auto" w:sz="4" w:space="0"/>
            </w:tcBorders>
            <w:shd w:val="clear" w:color="auto" w:fill="auto"/>
            <w:vAlign w:val="center"/>
          </w:tcPr>
          <w:p w14:paraId="5828D53D">
            <w:pPr>
              <w:pStyle w:val="8"/>
              <w:spacing w:before="88" w:line="223" w:lineRule="auto"/>
              <w:ind w:left="121" w:leftChars="0"/>
              <w:jc w:val="center"/>
              <w:rPr>
                <w:rFonts w:hint="default" w:cs="宋体"/>
                <w:spacing w:val="-7"/>
                <w:sz w:val="22"/>
                <w:szCs w:val="22"/>
                <w:lang w:val="en-US" w:eastAsia="zh-CN"/>
              </w:rPr>
            </w:pPr>
            <w:r>
              <w:rPr>
                <w:rFonts w:hint="eastAsia" w:cs="宋体"/>
                <w:spacing w:val="-7"/>
                <w:sz w:val="22"/>
                <w:szCs w:val="22"/>
                <w:lang w:val="en-US" w:eastAsia="zh-CN"/>
              </w:rPr>
              <w:t>8</w:t>
            </w:r>
          </w:p>
        </w:tc>
        <w:tc>
          <w:tcPr>
            <w:tcW w:w="3591" w:type="dxa"/>
            <w:tcBorders>
              <w:top w:val="single" w:color="auto" w:sz="4" w:space="0"/>
              <w:left w:val="single" w:color="auto" w:sz="4" w:space="0"/>
              <w:bottom w:val="single" w:color="auto" w:sz="4" w:space="0"/>
              <w:right w:val="single" w:color="auto" w:sz="4" w:space="0"/>
            </w:tcBorders>
            <w:vAlign w:val="center"/>
          </w:tcPr>
          <w:p w14:paraId="41221A16">
            <w:pPr>
              <w:pStyle w:val="8"/>
              <w:spacing w:before="88" w:line="223" w:lineRule="auto"/>
              <w:ind w:left="121" w:leftChars="0"/>
              <w:jc w:val="center"/>
              <w:rPr>
                <w:rFonts w:hint="default"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编制年度总结报告</w:t>
            </w:r>
          </w:p>
        </w:tc>
        <w:tc>
          <w:tcPr>
            <w:tcW w:w="729" w:type="dxa"/>
            <w:tcBorders>
              <w:top w:val="single" w:color="auto" w:sz="4" w:space="0"/>
              <w:left w:val="single" w:color="auto" w:sz="4" w:space="0"/>
              <w:bottom w:val="single" w:color="auto" w:sz="4" w:space="0"/>
              <w:right w:val="single" w:color="auto" w:sz="4" w:space="0"/>
            </w:tcBorders>
            <w:vAlign w:val="center"/>
          </w:tcPr>
          <w:p w14:paraId="4B9720D8">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515D6D64">
            <w:pPr>
              <w:pStyle w:val="8"/>
              <w:spacing w:before="88" w:line="223" w:lineRule="auto"/>
              <w:ind w:left="121" w:leftChars="0"/>
              <w:jc w:val="center"/>
              <w:rPr>
                <w:rFonts w:hint="default" w:cs="宋体"/>
                <w:spacing w:val="-7"/>
                <w:sz w:val="22"/>
                <w:szCs w:val="22"/>
                <w:lang w:val="en-US" w:eastAsia="zh-CN"/>
              </w:rPr>
            </w:pPr>
            <w:r>
              <w:rPr>
                <w:rFonts w:hint="eastAsia" w:cs="宋体"/>
                <w:spacing w:val="-7"/>
                <w:sz w:val="22"/>
                <w:szCs w:val="22"/>
                <w:lang w:val="en-US" w:eastAsia="zh-CN"/>
              </w:rPr>
              <w:t>2</w:t>
            </w:r>
          </w:p>
        </w:tc>
        <w:tc>
          <w:tcPr>
            <w:tcW w:w="6006" w:type="dxa"/>
            <w:tcBorders>
              <w:top w:val="single" w:color="auto" w:sz="4" w:space="0"/>
              <w:left w:val="single" w:color="auto" w:sz="4" w:space="0"/>
              <w:bottom w:val="single" w:color="auto" w:sz="4" w:space="0"/>
              <w:right w:val="single" w:color="auto" w:sz="4" w:space="0"/>
            </w:tcBorders>
            <w:vAlign w:val="center"/>
          </w:tcPr>
          <w:p w14:paraId="0878D3F3">
            <w:pPr>
              <w:pStyle w:val="8"/>
              <w:spacing w:before="88" w:line="220" w:lineRule="auto"/>
              <w:ind w:left="114"/>
              <w:jc w:val="center"/>
              <w:rPr>
                <w:rFonts w:hint="default" w:ascii="宋体" w:hAnsi="宋体" w:eastAsia="宋体" w:cs="宋体"/>
                <w:spacing w:val="-6"/>
                <w:kern w:val="2"/>
                <w:sz w:val="24"/>
                <w:szCs w:val="24"/>
                <w:lang w:val="en-US" w:eastAsia="zh-CN" w:bidi="ar-SA"/>
              </w:rPr>
            </w:pPr>
            <w:r>
              <w:rPr>
                <w:rFonts w:hint="eastAsia" w:cs="宋体"/>
                <w:spacing w:val="-6"/>
                <w:kern w:val="2"/>
                <w:sz w:val="24"/>
                <w:szCs w:val="24"/>
                <w:lang w:val="en-US" w:eastAsia="zh-CN" w:bidi="ar-SA"/>
              </w:rPr>
              <w:t>编制半年/年度总结报告，一年两次</w:t>
            </w:r>
          </w:p>
        </w:tc>
      </w:tr>
      <w:tr w14:paraId="1E09B9C5">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310"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14:paraId="29C9C86B">
            <w:pPr>
              <w:pStyle w:val="8"/>
              <w:spacing w:before="88" w:line="223" w:lineRule="auto"/>
              <w:jc w:val="center"/>
              <w:rPr>
                <w:rFonts w:hint="default" w:ascii="宋体" w:hAnsi="宋体" w:eastAsia="宋体" w:cs="宋体"/>
                <w:spacing w:val="-7"/>
                <w:sz w:val="22"/>
                <w:szCs w:val="22"/>
                <w:lang w:val="en-US" w:eastAsia="zh-CN"/>
              </w:rPr>
            </w:pPr>
            <w:r>
              <w:rPr>
                <w:rFonts w:hint="eastAsia" w:cs="宋体"/>
                <w:spacing w:val="-7"/>
                <w:sz w:val="22"/>
                <w:szCs w:val="22"/>
                <w:lang w:val="en-US" w:eastAsia="zh-CN"/>
              </w:rPr>
              <w:t>9</w:t>
            </w:r>
          </w:p>
        </w:tc>
        <w:tc>
          <w:tcPr>
            <w:tcW w:w="3591" w:type="dxa"/>
            <w:tcBorders>
              <w:top w:val="single" w:color="auto" w:sz="4" w:space="0"/>
              <w:left w:val="single" w:color="auto" w:sz="4" w:space="0"/>
              <w:bottom w:val="single" w:color="auto" w:sz="4" w:space="0"/>
              <w:right w:val="single" w:color="auto" w:sz="4" w:space="0"/>
            </w:tcBorders>
            <w:vAlign w:val="center"/>
          </w:tcPr>
          <w:p w14:paraId="5742F416">
            <w:pPr>
              <w:pStyle w:val="8"/>
              <w:spacing w:before="88" w:line="223" w:lineRule="auto"/>
              <w:ind w:left="121" w:leftChars="0"/>
              <w:jc w:val="center"/>
              <w:rPr>
                <w:rFonts w:hint="eastAsia"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针对院方全区域范围内开展一次建筑电气系统安全检验检测</w:t>
            </w:r>
          </w:p>
        </w:tc>
        <w:tc>
          <w:tcPr>
            <w:tcW w:w="729" w:type="dxa"/>
            <w:tcBorders>
              <w:top w:val="single" w:color="auto" w:sz="4" w:space="0"/>
              <w:left w:val="single" w:color="auto" w:sz="4" w:space="0"/>
              <w:bottom w:val="single" w:color="auto" w:sz="4" w:space="0"/>
              <w:right w:val="single" w:color="auto" w:sz="4" w:space="0"/>
            </w:tcBorders>
            <w:vAlign w:val="center"/>
          </w:tcPr>
          <w:p w14:paraId="1892FACC">
            <w:pPr>
              <w:pStyle w:val="8"/>
              <w:spacing w:before="88" w:line="223" w:lineRule="auto"/>
              <w:ind w:left="121" w:leftChars="0"/>
              <w:jc w:val="center"/>
              <w:rPr>
                <w:rFonts w:hint="eastAsia"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5F1A5D6C">
            <w:pPr>
              <w:pStyle w:val="8"/>
              <w:spacing w:before="88" w:line="223" w:lineRule="auto"/>
              <w:ind w:left="121" w:leftChars="0"/>
              <w:jc w:val="center"/>
              <w:rPr>
                <w:rFonts w:hint="default" w:ascii="宋体" w:hAnsi="宋体" w:eastAsia="宋体" w:cs="宋体"/>
                <w:spacing w:val="-7"/>
                <w:sz w:val="22"/>
                <w:szCs w:val="22"/>
                <w:lang w:val="en-US" w:eastAsia="zh-CN"/>
              </w:rPr>
            </w:pPr>
            <w:r>
              <w:rPr>
                <w:rFonts w:hint="eastAsia" w:ascii="宋体" w:hAnsi="宋体" w:eastAsia="宋体" w:cs="宋体"/>
                <w:spacing w:val="-7"/>
                <w:sz w:val="22"/>
                <w:szCs w:val="22"/>
                <w:lang w:val="en-US" w:eastAsia="zh-CN"/>
              </w:rPr>
              <w:t>1</w:t>
            </w:r>
          </w:p>
        </w:tc>
        <w:tc>
          <w:tcPr>
            <w:tcW w:w="6006" w:type="dxa"/>
            <w:tcBorders>
              <w:top w:val="single" w:color="auto" w:sz="4" w:space="0"/>
              <w:left w:val="single" w:color="auto" w:sz="4" w:space="0"/>
              <w:bottom w:val="single" w:color="auto" w:sz="4" w:space="0"/>
              <w:right w:val="single" w:color="auto" w:sz="4" w:space="0"/>
            </w:tcBorders>
            <w:vAlign w:val="center"/>
          </w:tcPr>
          <w:p w14:paraId="5420E4AA">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依据福田区卫生健康局年度考核内容；出具检测报告</w:t>
            </w:r>
          </w:p>
        </w:tc>
      </w:tr>
      <w:tr w14:paraId="2ADB47AB">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310"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14:paraId="72AC34DB">
            <w:pPr>
              <w:pStyle w:val="8"/>
              <w:spacing w:before="88" w:line="223" w:lineRule="auto"/>
              <w:jc w:val="center"/>
              <w:rPr>
                <w:rFonts w:hint="default" w:cs="宋体"/>
                <w:spacing w:val="-7"/>
                <w:sz w:val="22"/>
                <w:szCs w:val="22"/>
                <w:lang w:val="en-US" w:eastAsia="zh-CN"/>
              </w:rPr>
            </w:pPr>
            <w:r>
              <w:rPr>
                <w:rFonts w:hint="eastAsia" w:cs="宋体"/>
                <w:spacing w:val="-7"/>
                <w:sz w:val="22"/>
                <w:szCs w:val="22"/>
                <w:lang w:val="en-US" w:eastAsia="zh-CN"/>
              </w:rPr>
              <w:t>10</w:t>
            </w:r>
          </w:p>
        </w:tc>
        <w:tc>
          <w:tcPr>
            <w:tcW w:w="3591" w:type="dxa"/>
            <w:tcBorders>
              <w:top w:val="single" w:color="auto" w:sz="4" w:space="0"/>
              <w:left w:val="single" w:color="auto" w:sz="4" w:space="0"/>
              <w:bottom w:val="single" w:color="auto" w:sz="4" w:space="0"/>
              <w:right w:val="single" w:color="auto" w:sz="4" w:space="0"/>
            </w:tcBorders>
            <w:vAlign w:val="center"/>
          </w:tcPr>
          <w:p w14:paraId="7D5F76A8">
            <w:pPr>
              <w:pStyle w:val="8"/>
              <w:spacing w:before="88" w:line="223" w:lineRule="auto"/>
              <w:ind w:left="121" w:leftChars="0"/>
              <w:jc w:val="center"/>
              <w:rPr>
                <w:rFonts w:hint="eastAsia" w:ascii="宋体" w:hAnsi="宋体" w:eastAsia="宋体" w:cs="宋体"/>
                <w:bCs/>
                <w:color w:val="auto"/>
                <w:kern w:val="2"/>
                <w:sz w:val="24"/>
                <w:szCs w:val="19"/>
                <w:lang w:val="en-US" w:eastAsia="zh-CN" w:bidi="ar-SA"/>
              </w:rPr>
            </w:pPr>
            <w:r>
              <w:rPr>
                <w:rFonts w:hint="eastAsia" w:ascii="宋体" w:hAnsi="宋体" w:eastAsia="宋体" w:cs="宋体"/>
                <w:bCs/>
                <w:color w:val="auto"/>
                <w:kern w:val="2"/>
                <w:sz w:val="24"/>
                <w:szCs w:val="19"/>
                <w:lang w:val="en-US" w:eastAsia="zh-CN" w:bidi="ar-SA"/>
              </w:rPr>
              <w:t>针对院方全区域范围内开展一次建筑消防安全评估</w:t>
            </w:r>
          </w:p>
        </w:tc>
        <w:tc>
          <w:tcPr>
            <w:tcW w:w="729" w:type="dxa"/>
            <w:tcBorders>
              <w:top w:val="single" w:color="auto" w:sz="4" w:space="0"/>
              <w:left w:val="single" w:color="auto" w:sz="4" w:space="0"/>
              <w:bottom w:val="single" w:color="auto" w:sz="4" w:space="0"/>
              <w:right w:val="single" w:color="auto" w:sz="4" w:space="0"/>
            </w:tcBorders>
            <w:vAlign w:val="center"/>
          </w:tcPr>
          <w:p w14:paraId="7F111B64">
            <w:pPr>
              <w:pStyle w:val="8"/>
              <w:spacing w:before="88" w:line="220" w:lineRule="auto"/>
              <w:ind w:left="114"/>
              <w:jc w:val="center"/>
              <w:rPr>
                <w:rFonts w:hint="default" w:ascii="宋体" w:hAnsi="宋体" w:eastAsia="宋体" w:cs="宋体"/>
                <w:color w:val="auto"/>
                <w:spacing w:val="-6"/>
                <w:kern w:val="2"/>
                <w:sz w:val="24"/>
                <w:szCs w:val="24"/>
                <w:highlight w:val="yellow"/>
                <w:lang w:val="en-US" w:eastAsia="zh-CN" w:bidi="ar-SA"/>
              </w:rPr>
            </w:pPr>
            <w:r>
              <w:rPr>
                <w:rFonts w:hint="eastAsia" w:ascii="宋体" w:hAnsi="宋体" w:eastAsia="宋体" w:cs="宋体"/>
                <w:color w:val="auto"/>
                <w:spacing w:val="-6"/>
                <w:kern w:val="2"/>
                <w:sz w:val="24"/>
                <w:szCs w:val="24"/>
                <w:highlight w:val="yellow"/>
                <w:lang w:val="en-US" w:eastAsia="zh-CN" w:bidi="ar-SA"/>
              </w:rPr>
              <w:t>1</w:t>
            </w:r>
            <w:r>
              <w:rPr>
                <w:rFonts w:hint="eastAsia" w:cs="宋体"/>
                <w:color w:val="auto"/>
                <w:spacing w:val="-6"/>
                <w:kern w:val="2"/>
                <w:sz w:val="24"/>
                <w:szCs w:val="24"/>
                <w:highlight w:val="yellow"/>
                <w:lang w:val="en-US" w:eastAsia="zh-CN" w:bidi="ar-SA"/>
              </w:rPr>
              <w:t>年</w:t>
            </w:r>
          </w:p>
        </w:tc>
        <w:tc>
          <w:tcPr>
            <w:tcW w:w="1431" w:type="dxa"/>
            <w:tcBorders>
              <w:top w:val="single" w:color="auto" w:sz="4" w:space="0"/>
              <w:left w:val="single" w:color="auto" w:sz="4" w:space="0"/>
              <w:bottom w:val="single" w:color="auto" w:sz="4" w:space="0"/>
              <w:right w:val="single" w:color="auto" w:sz="4" w:space="0"/>
            </w:tcBorders>
            <w:vAlign w:val="center"/>
          </w:tcPr>
          <w:p w14:paraId="3F3D6FC8">
            <w:pPr>
              <w:pStyle w:val="8"/>
              <w:spacing w:before="88" w:line="220" w:lineRule="auto"/>
              <w:ind w:left="114"/>
              <w:jc w:val="center"/>
              <w:rPr>
                <w:rFonts w:hint="default" w:ascii="宋体" w:hAnsi="宋体" w:eastAsia="宋体" w:cs="宋体"/>
                <w:color w:val="auto"/>
                <w:spacing w:val="-6"/>
                <w:kern w:val="2"/>
                <w:sz w:val="24"/>
                <w:szCs w:val="24"/>
                <w:highlight w:val="yellow"/>
                <w:lang w:val="en-US" w:eastAsia="zh-CN" w:bidi="ar-SA"/>
              </w:rPr>
            </w:pPr>
            <w:r>
              <w:rPr>
                <w:rFonts w:hint="eastAsia" w:cs="宋体"/>
                <w:color w:val="auto"/>
                <w:spacing w:val="-6"/>
                <w:kern w:val="2"/>
                <w:sz w:val="24"/>
                <w:szCs w:val="24"/>
                <w:highlight w:val="yellow"/>
                <w:lang w:val="en-US" w:eastAsia="zh-CN" w:bidi="ar-SA"/>
              </w:rPr>
              <w:t>1</w:t>
            </w:r>
          </w:p>
        </w:tc>
        <w:tc>
          <w:tcPr>
            <w:tcW w:w="6006" w:type="dxa"/>
            <w:tcBorders>
              <w:top w:val="single" w:color="auto" w:sz="4" w:space="0"/>
              <w:left w:val="single" w:color="auto" w:sz="4" w:space="0"/>
              <w:bottom w:val="single" w:color="auto" w:sz="4" w:space="0"/>
              <w:right w:val="single" w:color="auto" w:sz="4" w:space="0"/>
            </w:tcBorders>
            <w:vAlign w:val="center"/>
          </w:tcPr>
          <w:p w14:paraId="6DEC38BF">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依据福田区卫生健康局年度考核内容；出具评估报告</w:t>
            </w:r>
          </w:p>
        </w:tc>
      </w:tr>
      <w:tr w14:paraId="535EF736">
        <w:tblPrEx>
          <w:tblBorders>
            <w:top w:val="single" w:color="EBEEF5" w:sz="4" w:space="0"/>
            <w:left w:val="single" w:color="EBEEF5" w:sz="4" w:space="0"/>
            <w:bottom w:val="single" w:color="EBEEF5" w:sz="4" w:space="0"/>
            <w:right w:val="single" w:color="EBEEF5" w:sz="4" w:space="0"/>
            <w:insideH w:val="single" w:color="EBEEF5" w:sz="4" w:space="0"/>
            <w:insideV w:val="single" w:color="EBEEF5" w:sz="4" w:space="0"/>
          </w:tblBorders>
          <w:tblCellMar>
            <w:top w:w="0" w:type="dxa"/>
            <w:left w:w="0" w:type="dxa"/>
            <w:bottom w:w="0" w:type="dxa"/>
            <w:right w:w="0" w:type="dxa"/>
          </w:tblCellMar>
        </w:tblPrEx>
        <w:trPr>
          <w:trHeight w:val="1310" w:hRule="atLeast"/>
          <w:jc w:val="center"/>
        </w:trPr>
        <w:tc>
          <w:tcPr>
            <w:tcW w:w="616" w:type="dxa"/>
            <w:tcBorders>
              <w:top w:val="single" w:color="auto" w:sz="4" w:space="0"/>
              <w:left w:val="single" w:color="auto" w:sz="4" w:space="0"/>
              <w:bottom w:val="single" w:color="auto" w:sz="4" w:space="0"/>
              <w:right w:val="single" w:color="auto" w:sz="4" w:space="0"/>
            </w:tcBorders>
            <w:vAlign w:val="center"/>
          </w:tcPr>
          <w:p w14:paraId="1E34E5F1">
            <w:pPr>
              <w:pStyle w:val="8"/>
              <w:spacing w:before="88" w:line="223" w:lineRule="auto"/>
              <w:jc w:val="center"/>
              <w:rPr>
                <w:rFonts w:hint="default" w:cs="宋体"/>
                <w:spacing w:val="-7"/>
                <w:sz w:val="22"/>
                <w:szCs w:val="22"/>
                <w:lang w:val="en-US" w:eastAsia="zh-CN"/>
              </w:rPr>
            </w:pPr>
            <w:r>
              <w:rPr>
                <w:rFonts w:hint="eastAsia" w:cs="宋体"/>
                <w:spacing w:val="-7"/>
                <w:sz w:val="22"/>
                <w:szCs w:val="22"/>
                <w:lang w:val="en-US" w:eastAsia="zh-CN"/>
              </w:rPr>
              <w:t>11</w:t>
            </w:r>
          </w:p>
        </w:tc>
        <w:tc>
          <w:tcPr>
            <w:tcW w:w="3591" w:type="dxa"/>
            <w:tcBorders>
              <w:top w:val="single" w:color="auto" w:sz="4" w:space="0"/>
              <w:left w:val="single" w:color="auto" w:sz="4" w:space="0"/>
              <w:bottom w:val="single" w:color="auto" w:sz="4" w:space="0"/>
              <w:right w:val="single" w:color="auto" w:sz="4" w:space="0"/>
            </w:tcBorders>
            <w:vAlign w:val="center"/>
          </w:tcPr>
          <w:p w14:paraId="054919FB">
            <w:pPr>
              <w:pStyle w:val="8"/>
              <w:spacing w:before="88" w:line="223" w:lineRule="auto"/>
              <w:ind w:left="121" w:leftChars="0"/>
              <w:jc w:val="center"/>
              <w:rPr>
                <w:rFonts w:hint="default" w:ascii="宋体" w:hAnsi="宋体" w:eastAsia="宋体" w:cs="宋体"/>
                <w:bCs/>
                <w:color w:val="auto"/>
                <w:kern w:val="2"/>
                <w:sz w:val="24"/>
                <w:szCs w:val="19"/>
                <w:lang w:val="en-US" w:eastAsia="zh-CN" w:bidi="ar-SA"/>
              </w:rPr>
            </w:pPr>
            <w:r>
              <w:rPr>
                <w:rFonts w:hint="eastAsia" w:cs="宋体"/>
                <w:bCs/>
                <w:color w:val="auto"/>
                <w:kern w:val="2"/>
                <w:sz w:val="24"/>
                <w:szCs w:val="19"/>
                <w:lang w:val="en-US" w:eastAsia="zh-CN" w:bidi="ar-SA"/>
              </w:rPr>
              <w:t>编制安全风险分级管控实施指南和事故灾难类安全风险评估报告</w:t>
            </w:r>
          </w:p>
        </w:tc>
        <w:tc>
          <w:tcPr>
            <w:tcW w:w="729" w:type="dxa"/>
            <w:tcBorders>
              <w:top w:val="single" w:color="auto" w:sz="4" w:space="0"/>
              <w:left w:val="single" w:color="auto" w:sz="4" w:space="0"/>
              <w:bottom w:val="single" w:color="auto" w:sz="4" w:space="0"/>
              <w:right w:val="single" w:color="auto" w:sz="4" w:space="0"/>
            </w:tcBorders>
            <w:vAlign w:val="center"/>
          </w:tcPr>
          <w:p w14:paraId="3583F36F">
            <w:pPr>
              <w:pStyle w:val="8"/>
              <w:spacing w:before="88" w:line="220" w:lineRule="auto"/>
              <w:ind w:left="114"/>
              <w:jc w:val="center"/>
              <w:rPr>
                <w:rFonts w:hint="default" w:ascii="宋体" w:hAnsi="宋体" w:eastAsia="宋体" w:cs="宋体"/>
                <w:spacing w:val="-6"/>
                <w:kern w:val="2"/>
                <w:sz w:val="24"/>
                <w:szCs w:val="24"/>
                <w:lang w:val="en-US" w:eastAsia="zh-CN" w:bidi="ar-SA"/>
              </w:rPr>
            </w:pPr>
            <w:r>
              <w:rPr>
                <w:rFonts w:hint="eastAsia" w:cs="宋体"/>
                <w:spacing w:val="-6"/>
                <w:kern w:val="2"/>
                <w:sz w:val="24"/>
                <w:szCs w:val="24"/>
                <w:lang w:val="en-US" w:eastAsia="zh-CN" w:bidi="ar-SA"/>
              </w:rPr>
              <w:t>1年</w:t>
            </w:r>
          </w:p>
        </w:tc>
        <w:tc>
          <w:tcPr>
            <w:tcW w:w="1431" w:type="dxa"/>
            <w:tcBorders>
              <w:top w:val="single" w:color="auto" w:sz="4" w:space="0"/>
              <w:left w:val="single" w:color="auto" w:sz="4" w:space="0"/>
              <w:bottom w:val="single" w:color="auto" w:sz="4" w:space="0"/>
              <w:right w:val="single" w:color="auto" w:sz="4" w:space="0"/>
            </w:tcBorders>
            <w:vAlign w:val="center"/>
          </w:tcPr>
          <w:p w14:paraId="443DACA1">
            <w:pPr>
              <w:pStyle w:val="8"/>
              <w:spacing w:before="88" w:line="220" w:lineRule="auto"/>
              <w:ind w:left="114"/>
              <w:jc w:val="center"/>
              <w:rPr>
                <w:rFonts w:hint="default" w:ascii="宋体" w:hAnsi="宋体" w:eastAsia="宋体" w:cs="宋体"/>
                <w:spacing w:val="-6"/>
                <w:kern w:val="2"/>
                <w:sz w:val="24"/>
                <w:szCs w:val="24"/>
                <w:lang w:val="en-US" w:eastAsia="zh-CN" w:bidi="ar-SA"/>
              </w:rPr>
            </w:pPr>
            <w:r>
              <w:rPr>
                <w:rFonts w:hint="eastAsia" w:cs="宋体"/>
                <w:spacing w:val="-6"/>
                <w:kern w:val="2"/>
                <w:sz w:val="24"/>
                <w:szCs w:val="24"/>
                <w:lang w:val="en-US" w:eastAsia="zh-CN" w:bidi="ar-SA"/>
              </w:rPr>
              <w:t>1</w:t>
            </w:r>
          </w:p>
        </w:tc>
        <w:tc>
          <w:tcPr>
            <w:tcW w:w="6006" w:type="dxa"/>
            <w:tcBorders>
              <w:top w:val="single" w:color="auto" w:sz="4" w:space="0"/>
              <w:left w:val="single" w:color="auto" w:sz="4" w:space="0"/>
              <w:bottom w:val="single" w:color="auto" w:sz="4" w:space="0"/>
              <w:right w:val="single" w:color="auto" w:sz="4" w:space="0"/>
            </w:tcBorders>
            <w:vAlign w:val="center"/>
          </w:tcPr>
          <w:p w14:paraId="0AF17343">
            <w:pPr>
              <w:pStyle w:val="8"/>
              <w:spacing w:before="88" w:line="220" w:lineRule="auto"/>
              <w:ind w:left="114"/>
              <w:jc w:val="left"/>
              <w:rPr>
                <w:rFonts w:hint="default" w:ascii="宋体" w:hAnsi="宋体" w:eastAsia="宋体" w:cs="宋体"/>
                <w:spacing w:val="-6"/>
                <w:kern w:val="2"/>
                <w:sz w:val="24"/>
                <w:szCs w:val="24"/>
                <w:lang w:val="en-US" w:eastAsia="zh-CN" w:bidi="ar-SA"/>
              </w:rPr>
            </w:pPr>
            <w:r>
              <w:rPr>
                <w:rFonts w:hint="eastAsia" w:ascii="宋体" w:hAnsi="宋体" w:eastAsia="宋体" w:cs="宋体"/>
                <w:spacing w:val="-6"/>
                <w:kern w:val="2"/>
                <w:sz w:val="24"/>
                <w:szCs w:val="24"/>
                <w:lang w:val="en-US" w:eastAsia="zh-CN" w:bidi="ar-SA"/>
              </w:rPr>
              <w:t>依据《广东省应急管理厅关于安全风险分级管控办法（试行）》</w:t>
            </w:r>
            <w:r>
              <w:rPr>
                <w:rFonts w:hint="eastAsia" w:cs="宋体"/>
                <w:spacing w:val="-6"/>
                <w:kern w:val="2"/>
                <w:sz w:val="24"/>
                <w:szCs w:val="24"/>
                <w:lang w:val="en-US" w:eastAsia="zh-CN" w:bidi="ar-SA"/>
              </w:rPr>
              <w:t>和《深圳市2023-2024年事故灾难类安全风险评估技术指引》</w:t>
            </w:r>
          </w:p>
        </w:tc>
      </w:tr>
    </w:tbl>
    <w:p w14:paraId="2689BA1F">
      <w:pPr>
        <w:pStyle w:val="3"/>
        <w:rPr>
          <w:rFonts w:hint="eastAsia"/>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embedRegular r:id="rId1" w:fontKey="{7A3A51DA-5728-49E3-8E11-CC9A1F290BFA}"/>
  </w:font>
  <w:font w:name="方正小标宋简体">
    <w:panose1 w:val="02000000000000000000"/>
    <w:charset w:val="86"/>
    <w:family w:val="script"/>
    <w:pitch w:val="default"/>
    <w:sig w:usb0="00000001" w:usb1="08000000" w:usb2="00000000" w:usb3="00000000" w:csb0="00040000" w:csb1="00000000"/>
    <w:embedRegular r:id="rId2" w:fontKey="{CC47D35F-5A8A-4924-9247-E612AA54BC4E}"/>
  </w:font>
  <w:font w:name="仿宋">
    <w:panose1 w:val="02010609060101010101"/>
    <w:charset w:val="86"/>
    <w:family w:val="auto"/>
    <w:pitch w:val="default"/>
    <w:sig w:usb0="800002BF" w:usb1="38CF7CFA" w:usb2="00000016" w:usb3="00000000" w:csb0="00040001" w:csb1="00000000"/>
    <w:embedRegular r:id="rId3" w:fontKey="{878EF51B-11CE-4723-8776-E831795B45C3}"/>
  </w:font>
  <w:font w:name="仿宋_GB2312">
    <w:panose1 w:val="02010609030101010101"/>
    <w:charset w:val="86"/>
    <w:family w:val="auto"/>
    <w:pitch w:val="default"/>
    <w:sig w:usb0="00000001" w:usb1="080E0000" w:usb2="00000000" w:usb3="00000000" w:csb0="00040000" w:csb1="00000000"/>
    <w:embedRegular r:id="rId4" w:fontKey="{C52E50FE-372D-462F-BF2C-79C328DF6A2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511CA4"/>
    <w:multiLevelType w:val="singleLevel"/>
    <w:tmpl w:val="A4511CA4"/>
    <w:lvl w:ilvl="0" w:tentative="0">
      <w:start w:val="2"/>
      <w:numFmt w:val="chineseCounting"/>
      <w:suff w:val="space"/>
      <w:lvlText w:val="第%1部分"/>
      <w:lvlJc w:val="left"/>
      <w:rPr>
        <w:rFonts w:hint="eastAsia"/>
      </w:rPr>
    </w:lvl>
  </w:abstractNum>
  <w:abstractNum w:abstractNumId="1">
    <w:nsid w:val="D938E2BE"/>
    <w:multiLevelType w:val="singleLevel"/>
    <w:tmpl w:val="D938E2BE"/>
    <w:lvl w:ilvl="0" w:tentative="0">
      <w:start w:val="1"/>
      <w:numFmt w:val="chineseCounting"/>
      <w:suff w:val="nothing"/>
      <w:lvlText w:val="%1、"/>
      <w:lvlJc w:val="left"/>
      <w:rPr>
        <w:rFonts w:hint="eastAsia"/>
        <w:sz w:val="32"/>
        <w:szCs w:val="32"/>
      </w:rPr>
    </w:lvl>
  </w:abstractNum>
  <w:abstractNum w:abstractNumId="2">
    <w:nsid w:val="FB249DBA"/>
    <w:multiLevelType w:val="singleLevel"/>
    <w:tmpl w:val="FB249DBA"/>
    <w:lvl w:ilvl="0" w:tentative="0">
      <w:start w:val="1"/>
      <w:numFmt w:val="decimal"/>
      <w:lvlText w:val="%1."/>
      <w:lvlJc w:val="left"/>
      <w:pPr>
        <w:tabs>
          <w:tab w:val="left" w:pos="312"/>
        </w:tabs>
      </w:pPr>
    </w:lvl>
  </w:abstractNum>
  <w:abstractNum w:abstractNumId="3">
    <w:nsid w:val="0E91BBE2"/>
    <w:multiLevelType w:val="singleLevel"/>
    <w:tmpl w:val="0E91BBE2"/>
    <w:lvl w:ilvl="0" w:tentative="0">
      <w:start w:val="1"/>
      <w:numFmt w:val="decimal"/>
      <w:suff w:val="space"/>
      <w:lvlText w:val="%1."/>
      <w:lvlJc w:val="left"/>
      <w:rPr>
        <w:rFonts w:hint="default" w:ascii="仿宋" w:hAnsi="仿宋" w:eastAsia="仿宋" w:cs="仿宋"/>
        <w:sz w:val="32"/>
        <w:szCs w:val="32"/>
      </w:rPr>
    </w:lvl>
  </w:abstractNum>
  <w:abstractNum w:abstractNumId="4">
    <w:nsid w:val="451486E5"/>
    <w:multiLevelType w:val="singleLevel"/>
    <w:tmpl w:val="451486E5"/>
    <w:lvl w:ilvl="0" w:tentative="0">
      <w:start w:val="4"/>
      <w:numFmt w:val="chineseCounting"/>
      <w:suff w:val="nothing"/>
      <w:lvlText w:val="%1、"/>
      <w:lvlJc w:val="left"/>
      <w:rPr>
        <w:rFonts w:hint="eastAsia"/>
      </w:rPr>
    </w:lvl>
  </w:abstractNum>
  <w:abstractNum w:abstractNumId="5">
    <w:nsid w:val="53B6D7E3"/>
    <w:multiLevelType w:val="singleLevel"/>
    <w:tmpl w:val="53B6D7E3"/>
    <w:lvl w:ilvl="0" w:tentative="0">
      <w:start w:val="1"/>
      <w:numFmt w:val="decimal"/>
      <w:lvlText w:val="%1."/>
      <w:lvlJc w:val="left"/>
      <w:pPr>
        <w:tabs>
          <w:tab w:val="left" w:pos="312"/>
        </w:tabs>
        <w:ind w:left="210" w:firstLine="420"/>
      </w:pPr>
      <w:rPr>
        <w:rFonts w:hint="default"/>
        <w:sz w:val="32"/>
        <w:szCs w:val="32"/>
      </w:r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5YmVmODY0NDFjNDIyNTdiMmJlYmI1MDZjYTUyMzkifQ=="/>
  </w:docVars>
  <w:rsids>
    <w:rsidRoot w:val="00000000"/>
    <w:rsid w:val="00122EF3"/>
    <w:rsid w:val="017E4CF7"/>
    <w:rsid w:val="02C23069"/>
    <w:rsid w:val="046C12B8"/>
    <w:rsid w:val="05867A4D"/>
    <w:rsid w:val="067803E8"/>
    <w:rsid w:val="0C965414"/>
    <w:rsid w:val="10962D8C"/>
    <w:rsid w:val="10A047C3"/>
    <w:rsid w:val="10A818CA"/>
    <w:rsid w:val="129A3494"/>
    <w:rsid w:val="16556050"/>
    <w:rsid w:val="16740292"/>
    <w:rsid w:val="17AC1CA0"/>
    <w:rsid w:val="19C92FDD"/>
    <w:rsid w:val="1D13631D"/>
    <w:rsid w:val="1EFB3FF3"/>
    <w:rsid w:val="1F9F20EA"/>
    <w:rsid w:val="24062DFC"/>
    <w:rsid w:val="25A557A2"/>
    <w:rsid w:val="290F4181"/>
    <w:rsid w:val="2A097F53"/>
    <w:rsid w:val="2A61691A"/>
    <w:rsid w:val="2AD417E1"/>
    <w:rsid w:val="2B5B1864"/>
    <w:rsid w:val="2C6A7B35"/>
    <w:rsid w:val="2DC55411"/>
    <w:rsid w:val="304271ED"/>
    <w:rsid w:val="311A5A74"/>
    <w:rsid w:val="311A6DF9"/>
    <w:rsid w:val="31583CA3"/>
    <w:rsid w:val="35624D04"/>
    <w:rsid w:val="36D861B6"/>
    <w:rsid w:val="39C67FDC"/>
    <w:rsid w:val="39F03816"/>
    <w:rsid w:val="3B710987"/>
    <w:rsid w:val="3C47704E"/>
    <w:rsid w:val="3D600CB3"/>
    <w:rsid w:val="3F890995"/>
    <w:rsid w:val="3F942A98"/>
    <w:rsid w:val="41CE6B33"/>
    <w:rsid w:val="43741014"/>
    <w:rsid w:val="454636B4"/>
    <w:rsid w:val="46476EB4"/>
    <w:rsid w:val="48EB4C6D"/>
    <w:rsid w:val="49153299"/>
    <w:rsid w:val="492E435B"/>
    <w:rsid w:val="4A6E0EAD"/>
    <w:rsid w:val="4B005883"/>
    <w:rsid w:val="4B2429B3"/>
    <w:rsid w:val="4DBF1A26"/>
    <w:rsid w:val="508B5231"/>
    <w:rsid w:val="50A371E2"/>
    <w:rsid w:val="550B72FE"/>
    <w:rsid w:val="55D32512"/>
    <w:rsid w:val="565A22EB"/>
    <w:rsid w:val="588E44CE"/>
    <w:rsid w:val="592B4413"/>
    <w:rsid w:val="5A972510"/>
    <w:rsid w:val="5AF251E8"/>
    <w:rsid w:val="5BF410C3"/>
    <w:rsid w:val="5D6879E4"/>
    <w:rsid w:val="5FC608B8"/>
    <w:rsid w:val="60642173"/>
    <w:rsid w:val="60AB66FC"/>
    <w:rsid w:val="612B67C4"/>
    <w:rsid w:val="65EB5E20"/>
    <w:rsid w:val="662B7800"/>
    <w:rsid w:val="66C45EBB"/>
    <w:rsid w:val="68792E6D"/>
    <w:rsid w:val="6AC16985"/>
    <w:rsid w:val="6D63386E"/>
    <w:rsid w:val="6F9B77A5"/>
    <w:rsid w:val="74732A9E"/>
    <w:rsid w:val="757F1917"/>
    <w:rsid w:val="78901549"/>
    <w:rsid w:val="79D62F3B"/>
    <w:rsid w:val="7B66335D"/>
    <w:rsid w:val="7BD52290"/>
    <w:rsid w:val="7F484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表格文字"/>
    <w:basedOn w:val="1"/>
    <w:qFormat/>
    <w:uiPriority w:val="0"/>
    <w:rPr>
      <w:rFonts w:ascii="Calibri" w:hAnsi="Calibri" w:cs="宋体"/>
      <w:szCs w:val="24"/>
    </w:rPr>
  </w:style>
  <w:style w:type="paragraph" w:styleId="3">
    <w:name w:val="Normal Indent"/>
    <w:basedOn w:val="1"/>
    <w:qFormat/>
    <w:uiPriority w:val="0"/>
    <w:pPr>
      <w:ind w:firstLine="420" w:firstLineChars="200"/>
    </w:pPr>
  </w:style>
  <w:style w:type="paragraph" w:styleId="4">
    <w:name w:val="Body Text"/>
    <w:basedOn w:val="1"/>
    <w:next w:val="1"/>
    <w:qFormat/>
    <w:uiPriority w:val="0"/>
    <w:rPr>
      <w:sz w:val="84"/>
      <w:szCs w:val="20"/>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19"/>
      <w:szCs w:val="19"/>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3220</Words>
  <Characters>3294</Characters>
  <Lines>0</Lines>
  <Paragraphs>0</Paragraphs>
  <TotalTime>69</TotalTime>
  <ScaleCrop>false</ScaleCrop>
  <LinksUpToDate>false</LinksUpToDate>
  <CharactersWithSpaces>3300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2023-10-16T09:20:00Z</dcterms:created>
  <dc:creator>Administrator</dc:creator>
  <cp:lastModifiedBy>scott</cp:lastModifiedBy>
  <cp:lastPrinted>2025-01-03T01:21:00Z</cp:lastPrinted>
  <dcterms:modified xsi:type="dcterms:W3CDTF">2025-02-18T08:17:34Z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01F672FF435A47B6BD96898B10E7CE7B_13</vt:lpwstr>
  </property>
  <property fmtid="{D5CDD505-2E9C-101B-9397-08002B2CF9AE}" pid="4" name="KSOTemplateDocerSaveRecord">
    <vt:lpwstr>eyJoZGlkIjoiOGM2ZGVjNDUxNTkxYTMyZjlkZjk1YWZmZmMyMDAwMjUiLCJ1c2VySWQiOiIyNDg0MjA5MjAifQ==</vt:lpwstr>
  </property>
</Properties>
</file>