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B6094C">
      <w:pPr>
        <w:pageBreakBefore w:val="0"/>
        <w:shd w:val="clear"/>
        <w:kinsoku/>
        <w:wordWrap/>
        <w:overflowPunct/>
        <w:topLinePunct w:val="0"/>
        <w:bidi w:val="0"/>
        <w:snapToGrid/>
        <w:spacing w:line="400" w:lineRule="exact"/>
        <w:ind w:firstLine="3064" w:firstLineChars="1090"/>
        <w:textAlignment w:val="auto"/>
        <w:rPr>
          <w:rFonts w:hint="eastAsia" w:ascii="宋体" w:hAnsi="宋体"/>
          <w:b/>
          <w:color w:val="auto"/>
          <w:sz w:val="28"/>
          <w:szCs w:val="28"/>
        </w:rPr>
      </w:pPr>
      <w:r>
        <w:rPr>
          <w:rFonts w:hint="eastAsia" w:ascii="宋体" w:hAnsi="宋体"/>
          <w:b/>
          <w:color w:val="auto"/>
          <w:sz w:val="28"/>
          <w:szCs w:val="28"/>
        </w:rPr>
        <w:t>2025</w:t>
      </w:r>
      <w:r>
        <w:rPr>
          <w:rFonts w:hint="eastAsia" w:ascii="宋体" w:hAnsi="宋体"/>
          <w:b/>
          <w:color w:val="auto"/>
          <w:sz w:val="28"/>
          <w:szCs w:val="28"/>
          <w:lang w:val="en-US" w:eastAsia="zh-CN"/>
        </w:rPr>
        <w:t>年</w:t>
      </w:r>
      <w:r>
        <w:rPr>
          <w:rFonts w:hint="eastAsia" w:ascii="宋体" w:hAnsi="宋体"/>
          <w:b/>
          <w:color w:val="auto"/>
          <w:sz w:val="28"/>
          <w:szCs w:val="28"/>
        </w:rPr>
        <w:t>医责险项目需求书</w:t>
      </w:r>
    </w:p>
    <w:p w14:paraId="4D667B69">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p>
    <w:p w14:paraId="2BEC433E">
      <w:pPr>
        <w:pageBreakBefore w:val="0"/>
        <w:shd w:val="clear"/>
        <w:kinsoku/>
        <w:wordWrap/>
        <w:overflowPunct/>
        <w:topLinePunct w:val="0"/>
        <w:bidi w:val="0"/>
        <w:snapToGrid/>
        <w:spacing w:line="400" w:lineRule="exact"/>
        <w:ind w:firstLine="420" w:firstLineChars="200"/>
        <w:jc w:val="left"/>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为了快速高效地处理医疗纠纷，共建和谐的医患关系，</w:t>
      </w:r>
      <w:r>
        <w:rPr>
          <w:rFonts w:hint="eastAsia" w:ascii="宋体 (正文)" w:hAnsi="宋体 (正文)" w:eastAsia="宋体 (正文)" w:cs="宋体 (正文)"/>
          <w:color w:val="auto"/>
          <w:szCs w:val="21"/>
          <w:lang w:val="en-US" w:eastAsia="zh-CN"/>
        </w:rPr>
        <w:t>我院需要采购</w:t>
      </w:r>
      <w:r>
        <w:rPr>
          <w:rFonts w:hint="eastAsia" w:ascii="宋体 (正文)" w:hAnsi="宋体 (正文)" w:eastAsia="宋体 (正文)" w:cs="宋体 (正文)"/>
          <w:color w:val="auto"/>
          <w:szCs w:val="21"/>
        </w:rPr>
        <w:t>医疗责任保险服务的</w:t>
      </w:r>
      <w:r>
        <w:rPr>
          <w:rFonts w:hint="eastAsia" w:ascii="宋体 (正文)" w:hAnsi="宋体 (正文)" w:eastAsia="宋体 (正文)" w:cs="宋体 (正文)"/>
          <w:color w:val="auto"/>
          <w:szCs w:val="21"/>
          <w:lang w:eastAsia="zh-CN"/>
        </w:rPr>
        <w:t>，</w:t>
      </w:r>
      <w:r>
        <w:rPr>
          <w:rFonts w:hint="eastAsia" w:ascii="宋体 (正文)" w:hAnsi="宋体 (正文)" w:eastAsia="宋体 (正文)" w:cs="宋体 (正文)"/>
          <w:color w:val="auto"/>
          <w:szCs w:val="21"/>
          <w:lang w:val="en-US" w:eastAsia="zh-CN"/>
        </w:rPr>
        <w:t>参考往年医疗责任险保险协议，提出需求如下</w:t>
      </w:r>
      <w:r>
        <w:rPr>
          <w:rFonts w:hint="eastAsia" w:ascii="宋体 (正文)" w:hAnsi="宋体 (正文)" w:eastAsia="宋体 (正文)" w:cs="宋体 (正文)"/>
          <w:color w:val="auto"/>
          <w:szCs w:val="21"/>
        </w:rPr>
        <w:t>。</w:t>
      </w:r>
      <w:bookmarkStart w:id="0" w:name="_Toc21406"/>
    </w:p>
    <w:p w14:paraId="57FC1E4C">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险种名称</w:t>
      </w:r>
      <w:bookmarkEnd w:id="0"/>
    </w:p>
    <w:p w14:paraId="6737C0D8">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医疗责任保险</w:t>
      </w:r>
      <w:bookmarkStart w:id="1" w:name="_Toc3600"/>
    </w:p>
    <w:p w14:paraId="0654B771">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被保险人</w:t>
      </w:r>
      <w:bookmarkEnd w:id="1"/>
    </w:p>
    <w:p w14:paraId="36F2E5FE">
      <w:pPr>
        <w:pageBreakBefore w:val="0"/>
        <w:shd w:val="clear"/>
        <w:kinsoku/>
        <w:wordWrap/>
        <w:overflowPunct/>
        <w:topLinePunct w:val="0"/>
        <w:bidi w:val="0"/>
        <w:snapToGrid/>
        <w:spacing w:line="400" w:lineRule="exact"/>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 xml:space="preserve">   </w:t>
      </w:r>
      <w:bookmarkStart w:id="2" w:name="_Toc23574"/>
      <w:r>
        <w:rPr>
          <w:rFonts w:hint="eastAsia" w:ascii="宋体 (正文)" w:hAnsi="宋体 (正文)" w:eastAsia="宋体 (正文)" w:cs="宋体 (正文)"/>
          <w:color w:val="auto"/>
          <w:szCs w:val="21"/>
        </w:rPr>
        <w:t>深圳市中医肛肠医院（福田）及其相关工作人员</w:t>
      </w:r>
    </w:p>
    <w:p w14:paraId="0314C487">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业务性质</w:t>
      </w:r>
      <w:bookmarkEnd w:id="2"/>
    </w:p>
    <w:p w14:paraId="4D1183F6">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从事医疗服务及其相关业务。</w:t>
      </w:r>
      <w:bookmarkStart w:id="3" w:name="_Toc14128"/>
    </w:p>
    <w:p w14:paraId="42B52B58">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所在区域</w:t>
      </w:r>
      <w:bookmarkEnd w:id="3"/>
    </w:p>
    <w:p w14:paraId="46538939">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深圳市</w:t>
      </w:r>
      <w:bookmarkStart w:id="4" w:name="_Toc2206"/>
    </w:p>
    <w:p w14:paraId="1C7DDAA5">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保险期限</w:t>
      </w:r>
      <w:bookmarkEnd w:id="4"/>
    </w:p>
    <w:p w14:paraId="3E7AA781">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一年,从202</w:t>
      </w:r>
      <w:r>
        <w:rPr>
          <w:rFonts w:hint="eastAsia" w:ascii="宋体 (正文)" w:hAnsi="宋体 (正文)" w:eastAsia="宋体 (正文)" w:cs="宋体 (正文)"/>
          <w:color w:val="auto"/>
          <w:szCs w:val="21"/>
          <w:lang w:val="en-US" w:eastAsia="zh-CN"/>
        </w:rPr>
        <w:t>5</w:t>
      </w:r>
      <w:r>
        <w:rPr>
          <w:rFonts w:hint="eastAsia" w:ascii="宋体 (正文)" w:hAnsi="宋体 (正文)" w:eastAsia="宋体 (正文)" w:cs="宋体 (正文)"/>
          <w:color w:val="auto"/>
          <w:szCs w:val="21"/>
        </w:rPr>
        <w:t>年</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月</w:t>
      </w:r>
      <w:r>
        <w:rPr>
          <w:rFonts w:hint="eastAsia" w:ascii="宋体 (正文)" w:hAnsi="宋体 (正文)" w:eastAsia="宋体 (正文)" w:cs="宋体 (正文)"/>
          <w:color w:val="auto"/>
          <w:szCs w:val="21"/>
          <w:lang w:val="en-US" w:eastAsia="zh-CN"/>
        </w:rPr>
        <w:t>19</w:t>
      </w:r>
      <w:r>
        <w:rPr>
          <w:rFonts w:hint="eastAsia" w:ascii="宋体 (正文)" w:hAnsi="宋体 (正文)" w:eastAsia="宋体 (正文)" w:cs="宋体 (正文)"/>
          <w:color w:val="auto"/>
          <w:szCs w:val="21"/>
        </w:rPr>
        <w:t>日零时起至202</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年</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月</w:t>
      </w:r>
      <w:r>
        <w:rPr>
          <w:rFonts w:hint="eastAsia" w:ascii="宋体 (正文)" w:hAnsi="宋体 (正文)" w:eastAsia="宋体 (正文)" w:cs="宋体 (正文)"/>
          <w:color w:val="auto"/>
          <w:szCs w:val="21"/>
          <w:lang w:val="en-US" w:eastAsia="zh-CN"/>
        </w:rPr>
        <w:t>18</w:t>
      </w:r>
      <w:r>
        <w:rPr>
          <w:rFonts w:hint="eastAsia" w:ascii="宋体 (正文)" w:hAnsi="宋体 (正文)" w:eastAsia="宋体 (正文)" w:cs="宋体 (正文)"/>
          <w:color w:val="auto"/>
          <w:szCs w:val="21"/>
        </w:rPr>
        <w:t>日24时止。</w:t>
      </w:r>
      <w:bookmarkStart w:id="5" w:name="_Toc4180"/>
    </w:p>
    <w:p w14:paraId="4E4D9722">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保险对象</w:t>
      </w:r>
      <w:bookmarkEnd w:id="5"/>
    </w:p>
    <w:p w14:paraId="7FE74548">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在深圳市中医肛肠医院（福田），就医、诊疗、体检及保健的个人均为医疗责任险的保险对象。</w:t>
      </w:r>
      <w:bookmarkStart w:id="6" w:name="_Toc22695"/>
    </w:p>
    <w:p w14:paraId="5AF0F08A">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保险追溯期</w:t>
      </w:r>
      <w:bookmarkEnd w:id="6"/>
    </w:p>
    <w:p w14:paraId="262A50B1">
      <w:pPr>
        <w:pageBreakBefore w:val="0"/>
        <w:shd w:val="clear"/>
        <w:kinsoku/>
        <w:wordWrap/>
        <w:overflowPunct/>
        <w:topLinePunct w:val="0"/>
        <w:bidi w:val="0"/>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20</w:t>
      </w:r>
      <w:r>
        <w:rPr>
          <w:rFonts w:hint="eastAsia" w:ascii="宋体 (正文)" w:hAnsi="宋体 (正文)" w:eastAsia="宋体 (正文)" w:cs="宋体 (正文)"/>
          <w:color w:val="auto"/>
          <w:szCs w:val="21"/>
          <w:lang w:val="en-US" w:eastAsia="zh-CN"/>
        </w:rPr>
        <w:t>23</w:t>
      </w:r>
      <w:r>
        <w:rPr>
          <w:rFonts w:hint="eastAsia" w:ascii="宋体 (正文)" w:hAnsi="宋体 (正文)" w:eastAsia="宋体 (正文)" w:cs="宋体 (正文)"/>
          <w:color w:val="auto"/>
          <w:szCs w:val="21"/>
        </w:rPr>
        <w:t>年</w:t>
      </w:r>
      <w:r>
        <w:rPr>
          <w:rFonts w:hint="eastAsia" w:ascii="宋体 (正文)" w:hAnsi="宋体 (正文)" w:eastAsia="宋体 (正文)" w:cs="宋体 (正文)"/>
          <w:color w:val="auto"/>
          <w:szCs w:val="21"/>
          <w:lang w:val="en-US" w:eastAsia="zh-CN"/>
        </w:rPr>
        <w:t>6</w:t>
      </w:r>
      <w:r>
        <w:rPr>
          <w:rFonts w:hint="eastAsia" w:ascii="宋体 (正文)" w:hAnsi="宋体 (正文)" w:eastAsia="宋体 (正文)" w:cs="宋体 (正文)"/>
          <w:color w:val="auto"/>
          <w:szCs w:val="21"/>
        </w:rPr>
        <w:t>月</w:t>
      </w:r>
      <w:r>
        <w:rPr>
          <w:rFonts w:hint="eastAsia" w:ascii="宋体 (正文)" w:hAnsi="宋体 (正文)" w:eastAsia="宋体 (正文)" w:cs="宋体 (正文)"/>
          <w:color w:val="auto"/>
          <w:szCs w:val="21"/>
          <w:lang w:val="en-US" w:eastAsia="zh-CN"/>
        </w:rPr>
        <w:t>19</w:t>
      </w:r>
      <w:r>
        <w:rPr>
          <w:rFonts w:hint="eastAsia" w:ascii="宋体 (正文)" w:hAnsi="宋体 (正文)" w:eastAsia="宋体 (正文)" w:cs="宋体 (正文)"/>
          <w:color w:val="auto"/>
          <w:szCs w:val="21"/>
        </w:rPr>
        <w:t>日零时，以后连续续保追溯期限逐年增加，如第二年续保追溯期为1年，以此类推，但追溯期最高不超过2年（含）。</w:t>
      </w:r>
      <w:bookmarkStart w:id="7" w:name="_Toc9980"/>
    </w:p>
    <w:p w14:paraId="7698E102">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保单承保方式</w:t>
      </w:r>
      <w:bookmarkEnd w:id="7"/>
    </w:p>
    <w:p w14:paraId="5EBD0D50">
      <w:pPr>
        <w:pageBreakBefore w:val="0"/>
        <w:shd w:val="clear"/>
        <w:kinsoku/>
        <w:wordWrap/>
        <w:overflowPunct/>
        <w:topLinePunct w:val="0"/>
        <w:bidi w:val="0"/>
        <w:snapToGrid/>
        <w:spacing w:line="400" w:lineRule="exact"/>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 xml:space="preserve">    本保险单承保基础为期内索赔制。</w:t>
      </w:r>
      <w:bookmarkStart w:id="8" w:name="_Toc13567"/>
    </w:p>
    <w:p w14:paraId="4B2FED1E">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赔偿限额</w:t>
      </w:r>
      <w:bookmarkEnd w:id="8"/>
    </w:p>
    <w:p w14:paraId="0A9777A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bookmarkStart w:id="9" w:name="_Toc4894"/>
      <w:r>
        <w:rPr>
          <w:rFonts w:hint="eastAsia" w:ascii="宋体 (正文)" w:hAnsi="宋体 (正文)" w:eastAsia="宋体 (正文)" w:cs="宋体 (正文)"/>
          <w:color w:val="auto"/>
          <w:szCs w:val="21"/>
        </w:rPr>
        <w:t>1.医疗损害责任事件和医疗意外赔偿限额（含外请医务人员、进修医务人员和实习生）</w:t>
      </w:r>
    </w:p>
    <w:p w14:paraId="31F688E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年度累计赔偿限额：80人民币万元。</w:t>
      </w:r>
    </w:p>
    <w:p w14:paraId="779E269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每人每次事件赔偿限额：30人民币万元。</w:t>
      </w:r>
    </w:p>
    <w:p w14:paraId="0272E1C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 医疗机构场所责任</w:t>
      </w:r>
    </w:p>
    <w:p w14:paraId="708E156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年度累计赔偿限额：人民币</w:t>
      </w:r>
      <w:r>
        <w:rPr>
          <w:rFonts w:hint="eastAsia" w:ascii="宋体 (正文)" w:hAnsi="宋体 (正文)" w:eastAsia="宋体 (正文)" w:cs="宋体 (正文)"/>
          <w:color w:val="auto"/>
          <w:szCs w:val="21"/>
          <w:lang w:val="en-US" w:eastAsia="zh-CN"/>
        </w:rPr>
        <w:t>40</w:t>
      </w:r>
      <w:r>
        <w:rPr>
          <w:rFonts w:hint="eastAsia" w:ascii="宋体 (正文)" w:hAnsi="宋体 (正文)" w:eastAsia="宋体 (正文)" w:cs="宋体 (正文)"/>
          <w:color w:val="auto"/>
          <w:szCs w:val="21"/>
        </w:rPr>
        <w:t>万元。</w:t>
      </w:r>
    </w:p>
    <w:p w14:paraId="1C70235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每次事件赔偿限额：10万元。</w:t>
      </w:r>
    </w:p>
    <w:p w14:paraId="590EE5E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每人每次事件赔偿限额：人民币10万元。</w:t>
      </w:r>
    </w:p>
    <w:p w14:paraId="7E8885B9">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3.医务人员人身损害赔偿限额（含外请医务人员、进修医务人员和实习生）</w:t>
      </w:r>
    </w:p>
    <w:p w14:paraId="65EE83AB">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年度累积赔偿限额：人民币</w:t>
      </w:r>
      <w:r>
        <w:rPr>
          <w:rFonts w:hint="eastAsia" w:ascii="宋体 (正文)" w:hAnsi="宋体 (正文)" w:eastAsia="宋体 (正文)" w:cs="宋体 (正文)"/>
          <w:color w:val="auto"/>
          <w:szCs w:val="21"/>
          <w:lang w:val="en-US" w:eastAsia="zh-CN"/>
        </w:rPr>
        <w:t>4</w:t>
      </w:r>
      <w:r>
        <w:rPr>
          <w:rFonts w:hint="eastAsia" w:ascii="宋体 (正文)" w:hAnsi="宋体 (正文)" w:eastAsia="宋体 (正文)" w:cs="宋体 (正文)"/>
          <w:color w:val="auto"/>
          <w:szCs w:val="21"/>
        </w:rPr>
        <w:t>0万元。</w:t>
      </w:r>
    </w:p>
    <w:p w14:paraId="64F89537">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每人每次事故死亡、伤残赔偿限额：人民币1</w:t>
      </w:r>
      <w:r>
        <w:rPr>
          <w:rFonts w:hint="eastAsia" w:ascii="宋体 (正文)" w:hAnsi="宋体 (正文)" w:eastAsia="宋体 (正文)" w:cs="宋体 (正文)"/>
          <w:color w:val="auto"/>
          <w:szCs w:val="21"/>
          <w:lang w:val="en-US" w:eastAsia="zh-CN"/>
        </w:rPr>
        <w:t>5</w:t>
      </w:r>
      <w:r>
        <w:rPr>
          <w:rFonts w:hint="eastAsia" w:ascii="宋体 (正文)" w:hAnsi="宋体 (正文)" w:eastAsia="宋体 (正文)" w:cs="宋体 (正文)"/>
          <w:color w:val="auto"/>
          <w:szCs w:val="21"/>
        </w:rPr>
        <w:t>万元。</w:t>
      </w:r>
    </w:p>
    <w:p w14:paraId="47BF332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每人每次事故医疗费用赔偿限额：人民币2万元。</w:t>
      </w:r>
    </w:p>
    <w:p w14:paraId="06016E7B">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4.精神损害赔偿限额</w:t>
      </w:r>
    </w:p>
    <w:p w14:paraId="01515B41">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每人每次事故赔偿限额及累计赔偿限额：5万，且包含在每人每次事故或意外和年度累计赔偿限额之内。</w:t>
      </w:r>
    </w:p>
    <w:p w14:paraId="5DC2DFAC">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5.法律费用赔偿限额</w:t>
      </w:r>
    </w:p>
    <w:p w14:paraId="63674430">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rPr>
        <w:t>每人每次事故赔偿限额及累计赔偿限额：5万，且在每人每次事故或意外和年度累计赔偿限额之外单独计算。</w:t>
      </w:r>
    </w:p>
    <w:p w14:paraId="53948F60">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免赔额</w:t>
      </w:r>
      <w:bookmarkEnd w:id="9"/>
    </w:p>
    <w:p w14:paraId="07E95A50">
      <w:pPr>
        <w:pageBreakBefore w:val="0"/>
        <w:shd w:val="clear"/>
        <w:kinsoku/>
        <w:wordWrap/>
        <w:overflowPunct/>
        <w:topLinePunct w:val="0"/>
        <w:bidi w:val="0"/>
        <w:snapToGrid/>
        <w:spacing w:line="400" w:lineRule="exact"/>
        <w:ind w:firstLine="420" w:firstLineChars="200"/>
        <w:textAlignment w:val="auto"/>
        <w:rPr>
          <w:rFonts w:hint="eastAsia" w:ascii="宋体 (正文)" w:hAnsi="宋体 (正文)" w:eastAsia="宋体 (正文)" w:cs="宋体 (正文)"/>
          <w:color w:val="auto"/>
          <w:szCs w:val="21"/>
        </w:rPr>
      </w:pPr>
      <w:r>
        <w:rPr>
          <w:rFonts w:hint="eastAsia" w:ascii="宋体 (正文)" w:hAnsi="宋体 (正文)" w:eastAsia="宋体 (正文)" w:cs="宋体 (正文)"/>
          <w:color w:val="auto"/>
          <w:szCs w:val="21"/>
        </w:rPr>
        <w:t>免赔额为零。</w:t>
      </w:r>
    </w:p>
    <w:p w14:paraId="0FADD940">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bookmarkStart w:id="10" w:name="_Toc18109"/>
      <w:r>
        <w:rPr>
          <w:rFonts w:hint="eastAsia" w:ascii="宋体 (正文)" w:hAnsi="宋体 (正文)" w:eastAsia="宋体 (正文)" w:cs="宋体 (正文)"/>
          <w:b/>
          <w:bCs/>
          <w:color w:val="auto"/>
          <w:szCs w:val="21"/>
        </w:rPr>
        <w:t>附加条款</w:t>
      </w:r>
      <w:bookmarkEnd w:id="10"/>
    </w:p>
    <w:p w14:paraId="456EAF8B">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rPr>
        <w:t>1.</w:t>
      </w:r>
      <w:r>
        <w:rPr>
          <w:rFonts w:hint="eastAsia" w:ascii="宋体 (正文)" w:hAnsi="宋体 (正文)" w:eastAsia="宋体 (正文)" w:cs="宋体 (正文)"/>
          <w:color w:val="auto"/>
          <w:szCs w:val="21"/>
          <w:lang w:val="en-US" w:eastAsia="zh-CN"/>
        </w:rPr>
        <w:t>医疗责任保险示范条款（A款期内索赔制）</w:t>
      </w:r>
    </w:p>
    <w:p w14:paraId="247FFA10">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2.附加医疗机构场所责任保险条款</w:t>
      </w:r>
    </w:p>
    <w:p w14:paraId="3AC286C0">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3.附加医务人员人身伤害责任保险条款</w:t>
      </w:r>
    </w:p>
    <w:p w14:paraId="354BF202">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4.附加进修医务人员医疗责任保险条款</w:t>
      </w:r>
    </w:p>
    <w:p w14:paraId="697A3B54">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5.附加实习生医疗责任保险条款</w:t>
      </w:r>
    </w:p>
    <w:p w14:paraId="22C1950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6.附加外请医务人员医疗责任保险条款</w:t>
      </w:r>
    </w:p>
    <w:p w14:paraId="4270717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7.附加精神损害赔偿责任保险条款</w:t>
      </w:r>
    </w:p>
    <w:p w14:paraId="78141D6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正文)" w:hAnsi="宋体 (正文)" w:eastAsia="宋体 (正文)" w:cs="宋体 (正文)"/>
          <w:color w:val="auto"/>
          <w:szCs w:val="21"/>
          <w:lang w:val="en-US" w:eastAsia="zh-CN"/>
        </w:rPr>
      </w:pPr>
      <w:r>
        <w:rPr>
          <w:rFonts w:hint="eastAsia" w:ascii="宋体 (正文)" w:hAnsi="宋体 (正文)" w:eastAsia="宋体 (正文)" w:cs="宋体 (正文)"/>
          <w:color w:val="auto"/>
          <w:szCs w:val="21"/>
          <w:lang w:val="en-US" w:eastAsia="zh-CN"/>
        </w:rPr>
        <w:t>8.附加药品、消毒药剂、医疗器械、输入不合格的血液、药品不良反应责任保险条款</w:t>
      </w:r>
    </w:p>
    <w:p w14:paraId="4DDAB641">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b/>
          <w:bCs/>
          <w:color w:val="auto"/>
          <w:szCs w:val="21"/>
        </w:rPr>
      </w:pPr>
      <w:r>
        <w:rPr>
          <w:rFonts w:hint="eastAsia" w:ascii="宋体 (正文)" w:hAnsi="宋体 (正文)" w:eastAsia="宋体 (正文)" w:cs="宋体 (正文)"/>
          <w:color w:val="auto"/>
          <w:szCs w:val="21"/>
          <w:lang w:val="en-US" w:eastAsia="zh-CN"/>
        </w:rPr>
        <w:t>9.附加特定诊疗责任保险条款</w:t>
      </w:r>
      <w:bookmarkStart w:id="11" w:name="_Toc20124"/>
    </w:p>
    <w:p w14:paraId="49C8BD01">
      <w:pPr>
        <w:keepNext w:val="0"/>
        <w:keepLines w:val="0"/>
        <w:pageBreakBefore w:val="0"/>
        <w:widowControl w:val="0"/>
        <w:numPr>
          <w:ilvl w:val="0"/>
          <w:numId w:val="1"/>
        </w:numPr>
        <w:shd w:val="clear"/>
        <w:kinsoku/>
        <w:wordWrap/>
        <w:overflowPunct/>
        <w:topLinePunct w:val="0"/>
        <w:autoSpaceDE/>
        <w:autoSpaceDN/>
        <w:bidi w:val="0"/>
        <w:adjustRightInd/>
        <w:snapToGrid/>
        <w:spacing w:line="400" w:lineRule="exact"/>
        <w:ind w:left="0" w:leftChars="0" w:firstLine="0" w:firstLineChars="0"/>
        <w:textAlignment w:val="auto"/>
        <w:rPr>
          <w:rFonts w:ascii="宋体 (正文)" w:hAnsi="宋体 (正文)" w:eastAsia="宋体 (正文)" w:cs="宋体 (正文)"/>
          <w:b/>
          <w:bCs/>
          <w:color w:val="auto"/>
          <w:szCs w:val="21"/>
        </w:rPr>
      </w:pPr>
      <w:r>
        <w:rPr>
          <w:rFonts w:hint="eastAsia" w:ascii="宋体 (正文)" w:hAnsi="宋体 (正文)" w:eastAsia="宋体 (正文)" w:cs="宋体 (正文)"/>
          <w:b/>
          <w:bCs/>
          <w:color w:val="auto"/>
          <w:szCs w:val="21"/>
        </w:rPr>
        <w:t>特别约定</w:t>
      </w:r>
      <w:bookmarkEnd w:id="11"/>
    </w:p>
    <w:p w14:paraId="5169629E">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bookmarkStart w:id="12" w:name="_Toc402433609"/>
      <w:bookmarkStart w:id="13" w:name="_Toc402432750"/>
      <w:bookmarkStart w:id="14" w:name="_Toc402891454"/>
      <w:bookmarkStart w:id="15" w:name="_Toc402437424"/>
      <w:bookmarkStart w:id="16" w:name="_Toc402433227"/>
      <w:bookmarkStart w:id="17" w:name="_Toc403927990"/>
      <w:r>
        <w:rPr>
          <w:rFonts w:hint="eastAsia" w:ascii="宋体 (正文)" w:hAnsi="宋体 (正文)" w:eastAsia="宋体 (正文)" w:cs="宋体 (正文)"/>
          <w:color w:val="auto"/>
          <w:szCs w:val="21"/>
        </w:rPr>
        <w:t>延长报告期特别约定</w:t>
      </w:r>
      <w:bookmarkEnd w:id="12"/>
      <w:bookmarkEnd w:id="13"/>
      <w:bookmarkEnd w:id="14"/>
      <w:bookmarkEnd w:id="15"/>
      <w:bookmarkEnd w:id="16"/>
      <w:bookmarkEnd w:id="17"/>
      <w:r>
        <w:rPr>
          <w:rFonts w:hint="eastAsia" w:ascii="宋体 (正文)" w:hAnsi="宋体 (正文)" w:eastAsia="宋体 (正文)" w:cs="宋体 (正文)"/>
          <w:color w:val="auto"/>
          <w:szCs w:val="21"/>
        </w:rPr>
        <w:t>：本协议设置延长报告期，协议到期后若投保人未续保且未在其它保险人处投保同类保险，被保险人将从协议终止之日起免费获得贰年的延长报告期。对于发生在本协议约定的保险期限和追溯期限内的保险事故，只要患者或其近亲属在延长报告期内首次向被保险人提出索赔要求，保险人仍然承担赔偿责任。但延长报告期并非延长本协议的保险期限或改变本协议的保障范围，也并不恢复或增加本协议的保险赔偿限额。</w:t>
      </w:r>
    </w:p>
    <w:p w14:paraId="32097AF8">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本协议所指的法律费用包括但不限于律师诉讼费、司法鉴定费、医疗损害鉴定、伤残等级鉴定、死因鉴定、毒理鉴定等与医疗损害、医疗意外、其他损害相关的鉴定费用；聘请法律顾问费用（每一案件的法律费用）；查勘费、取证费、仲裁或诉讼费、案件受理费、证人及专家出庭费用。</w:t>
      </w:r>
    </w:p>
    <w:p w14:paraId="009D2A3B">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因核反应、核子辐射和放射性污染造成的损失、费用和责任，保险不负责赔偿；但使用放射器材治疗或检查发生的赔偿责任，保险人负责赔偿。</w:t>
      </w:r>
    </w:p>
    <w:p w14:paraId="2E13EF0D">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highlight w:val="none"/>
        </w:rPr>
      </w:pPr>
      <w:r>
        <w:rPr>
          <w:rFonts w:hint="eastAsia" w:ascii="宋体 (正文)" w:hAnsi="宋体 (正文)" w:eastAsia="宋体 (正文)" w:cs="宋体 (正文)"/>
          <w:color w:val="auto"/>
          <w:szCs w:val="21"/>
          <w:highlight w:val="none"/>
        </w:rPr>
        <w:t>本协议中医务人员指经过国家有关部门考核、批准或承认，取得相应资格的各级各类卫生技术人员，也包括医疗管理人员、实习生。</w:t>
      </w:r>
    </w:p>
    <w:p w14:paraId="0EBEE478">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hint="eastAsia" w:ascii="宋体 (正文)" w:hAnsi="宋体 (正文)" w:eastAsia="宋体 (正文)" w:cs="宋体 (正文)"/>
          <w:color w:val="auto"/>
          <w:szCs w:val="21"/>
        </w:rPr>
      </w:pPr>
      <w:r>
        <w:rPr>
          <w:rFonts w:hint="eastAsia" w:ascii="宋体 (正文)" w:hAnsi="宋体 (正文)" w:eastAsia="宋体 (正文)" w:cs="宋体 (正文)"/>
          <w:color w:val="auto"/>
          <w:szCs w:val="21"/>
        </w:rPr>
        <w:t>本协议中救护车辆事故责任指被保险人在医疗活动中因所派出的机动救护车辆发生交通意外事故致使患者人身损害而依法应由被保险人承担的赔偿责任，保险人负责赔偿。</w:t>
      </w:r>
    </w:p>
    <w:p w14:paraId="3A7E4FEC">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hint="eastAsia" w:ascii="宋体 (正文)" w:hAnsi="宋体 (正文)" w:eastAsia="宋体 (正文)" w:cs="宋体 (正文)"/>
          <w:color w:val="auto"/>
          <w:szCs w:val="21"/>
        </w:rPr>
      </w:pPr>
      <w:r>
        <w:rPr>
          <w:rFonts w:hint="eastAsia" w:ascii="宋体 (正文)" w:hAnsi="宋体 (正文)" w:eastAsia="宋体 (正文)" w:cs="宋体 (正文)"/>
          <w:color w:val="auto"/>
          <w:szCs w:val="21"/>
        </w:rPr>
        <w:t>对于进行鉴定的赔案，所产生的鉴定费不区分责任比例，全部由保险人承担，并予以先行垫付，鉴定事项包括但不限于：医疗损害鉴定，伤残等级鉴定，后续治疗费鉴定、误工期护理期营养期鉴定等。</w:t>
      </w:r>
    </w:p>
    <w:p w14:paraId="2D4AEFED">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本协议中医疗意外赔偿指在保险期限</w:t>
      </w:r>
      <w:r>
        <w:rPr>
          <w:rFonts w:hint="eastAsia" w:ascii="宋体 (正文)" w:hAnsi="宋体 (正文)" w:eastAsia="宋体 (正文)" w:cs="宋体 (正文)"/>
          <w:color w:val="auto"/>
          <w:szCs w:val="21"/>
          <w:lang w:val="en-US" w:eastAsia="zh-CN"/>
        </w:rPr>
        <w:t>内</w:t>
      </w:r>
      <w:r>
        <w:rPr>
          <w:rFonts w:hint="eastAsia" w:ascii="宋体 (正文)" w:hAnsi="宋体 (正文)" w:eastAsia="宋体 (正文)" w:cs="宋体 (正文)"/>
          <w:color w:val="auto"/>
          <w:szCs w:val="21"/>
        </w:rPr>
        <w:t>或追溯期内，被保险人在诊疗护理过程中由于无法抗拒的因素或无过错行为，但发生了难以预料、难以防范和难以控制的不良后果并造成患者损害，患者或其近亲属或其代理人在保险期限内首次向被保险人提出补偿要求，依法应由被保险人承担的经济赔偿责任或经法院、政府部门或理赔联席会议要求赔付给患者的相关费用，保险人负责赔偿。</w:t>
      </w:r>
    </w:p>
    <w:p w14:paraId="41D5B902">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本协议中医务人员人身损害责任指被保险人的医务人员在本协议有效期内，在从事本协议所载明的被保险人的业务有关工作时（包括上下班途中）遭受意外伤害，依法应由被保险人承担经济赔偿责任，保险人负责赔偿。</w:t>
      </w:r>
    </w:p>
    <w:p w14:paraId="39E628A6">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医务人员因发生保险事故导致死亡或残疾的，保险人按以下规定进行赔偿：</w:t>
      </w:r>
    </w:p>
    <w:p w14:paraId="7FC5F183">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（1）死亡：保险人按协议约定的每人每次事故死亡赔偿限额进行赔偿，如果保险人根据本协议约定已支付残疾赔偿金的，死亡赔偿金额为扣除已支付残疾赔偿金后的余额。</w:t>
      </w:r>
    </w:p>
    <w:p w14:paraId="055BDFB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（2）伤残：按照以下伤残赔偿比例表规定的百分比乘以每人每次事故伤残赔偿限额进行赔偿，残疾程度鉴定标准以《劳动能力鉴定职工工伤与职业病致残等级》 (GB/T16180-2014)为准。</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6"/>
        <w:gridCol w:w="3695"/>
      </w:tblGrid>
      <w:tr w14:paraId="235A6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515EE871">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伤残等级</w:t>
            </w:r>
          </w:p>
        </w:tc>
        <w:tc>
          <w:tcPr>
            <w:tcW w:w="3695" w:type="dxa"/>
            <w:noWrap w:val="0"/>
            <w:vAlign w:val="center"/>
          </w:tcPr>
          <w:p w14:paraId="1885BA60">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赔偿比例</w:t>
            </w:r>
          </w:p>
        </w:tc>
      </w:tr>
      <w:tr w14:paraId="46743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1FE9E95F">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一级伤残</w:t>
            </w:r>
          </w:p>
        </w:tc>
        <w:tc>
          <w:tcPr>
            <w:tcW w:w="3695" w:type="dxa"/>
            <w:noWrap w:val="0"/>
            <w:vAlign w:val="center"/>
          </w:tcPr>
          <w:p w14:paraId="2F41DE4B">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100%</w:t>
            </w:r>
          </w:p>
        </w:tc>
      </w:tr>
      <w:tr w14:paraId="5F429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48328785">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二级伤残</w:t>
            </w:r>
          </w:p>
        </w:tc>
        <w:tc>
          <w:tcPr>
            <w:tcW w:w="3695" w:type="dxa"/>
            <w:noWrap w:val="0"/>
            <w:vAlign w:val="center"/>
          </w:tcPr>
          <w:p w14:paraId="2E3D1CDB">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80%</w:t>
            </w:r>
          </w:p>
        </w:tc>
      </w:tr>
      <w:tr w14:paraId="02900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18F99B92">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三级伤残</w:t>
            </w:r>
          </w:p>
        </w:tc>
        <w:tc>
          <w:tcPr>
            <w:tcW w:w="3695" w:type="dxa"/>
            <w:noWrap w:val="0"/>
            <w:vAlign w:val="center"/>
          </w:tcPr>
          <w:p w14:paraId="6E5D0FD4">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70%</w:t>
            </w:r>
          </w:p>
        </w:tc>
      </w:tr>
      <w:tr w14:paraId="78F98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20A20342">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四级伤残</w:t>
            </w:r>
          </w:p>
        </w:tc>
        <w:tc>
          <w:tcPr>
            <w:tcW w:w="3695" w:type="dxa"/>
            <w:noWrap w:val="0"/>
            <w:vAlign w:val="center"/>
          </w:tcPr>
          <w:p w14:paraId="3D7FF988">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60%</w:t>
            </w:r>
          </w:p>
        </w:tc>
      </w:tr>
      <w:tr w14:paraId="28E7E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2548B04F">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五级伤残</w:t>
            </w:r>
          </w:p>
        </w:tc>
        <w:tc>
          <w:tcPr>
            <w:tcW w:w="3695" w:type="dxa"/>
            <w:noWrap w:val="0"/>
            <w:vAlign w:val="center"/>
          </w:tcPr>
          <w:p w14:paraId="628F704D">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50%</w:t>
            </w:r>
          </w:p>
        </w:tc>
      </w:tr>
      <w:tr w14:paraId="3E338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21DD4097">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六级伤残</w:t>
            </w:r>
          </w:p>
        </w:tc>
        <w:tc>
          <w:tcPr>
            <w:tcW w:w="3695" w:type="dxa"/>
            <w:noWrap w:val="0"/>
            <w:vAlign w:val="center"/>
          </w:tcPr>
          <w:p w14:paraId="4C1A73E5">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40%</w:t>
            </w:r>
          </w:p>
        </w:tc>
      </w:tr>
      <w:tr w14:paraId="3BC71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2AABD378">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七级伤残</w:t>
            </w:r>
          </w:p>
        </w:tc>
        <w:tc>
          <w:tcPr>
            <w:tcW w:w="3695" w:type="dxa"/>
            <w:noWrap w:val="0"/>
            <w:vAlign w:val="center"/>
          </w:tcPr>
          <w:p w14:paraId="3603C39D">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30%</w:t>
            </w:r>
          </w:p>
        </w:tc>
      </w:tr>
      <w:tr w14:paraId="6CC86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61652A47">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八级伤残</w:t>
            </w:r>
          </w:p>
        </w:tc>
        <w:tc>
          <w:tcPr>
            <w:tcW w:w="3695" w:type="dxa"/>
            <w:noWrap w:val="0"/>
            <w:vAlign w:val="center"/>
          </w:tcPr>
          <w:p w14:paraId="168A4426">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20%</w:t>
            </w:r>
          </w:p>
        </w:tc>
      </w:tr>
      <w:tr w14:paraId="07CFC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70D00027">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九级伤残</w:t>
            </w:r>
          </w:p>
        </w:tc>
        <w:tc>
          <w:tcPr>
            <w:tcW w:w="3695" w:type="dxa"/>
            <w:noWrap w:val="0"/>
            <w:vAlign w:val="center"/>
          </w:tcPr>
          <w:p w14:paraId="60590840">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10%</w:t>
            </w:r>
          </w:p>
        </w:tc>
      </w:tr>
      <w:tr w14:paraId="142C1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56" w:type="dxa"/>
            <w:noWrap w:val="0"/>
            <w:vAlign w:val="center"/>
          </w:tcPr>
          <w:p w14:paraId="7BEB9AD5">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十级伤残</w:t>
            </w:r>
          </w:p>
        </w:tc>
        <w:tc>
          <w:tcPr>
            <w:tcW w:w="3695" w:type="dxa"/>
            <w:noWrap w:val="0"/>
            <w:vAlign w:val="center"/>
          </w:tcPr>
          <w:p w14:paraId="13A6D8AD">
            <w:pPr>
              <w:pageBreakBefore w:val="0"/>
              <w:shd w:val="clear"/>
              <w:kinsoku/>
              <w:wordWrap/>
              <w:overflowPunct/>
              <w:topLinePunct w:val="0"/>
              <w:bidi w:val="0"/>
              <w:snapToGrid/>
              <w:spacing w:line="400" w:lineRule="exact"/>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w:t>
            </w:r>
          </w:p>
        </w:tc>
      </w:tr>
    </w:tbl>
    <w:p w14:paraId="34692E5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（3）即使工伤保险或第三方已给与伤残或死亡赔偿，保险人仍根据本协议约定的标准进行赔偿。</w:t>
      </w:r>
    </w:p>
    <w:p w14:paraId="51F0CC70">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经双方协商一致，保险人同意本协议采用不记名方式投保，投保人按投保时实际在册医务人员人数投保，且自动承保保险期限内被保险人新增的医务人员，但发生赔案时，被保险人应提供与相关医务人员签订的劳务合同等相关用工协议。</w:t>
      </w:r>
    </w:p>
    <w:p w14:paraId="30172E9E">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事故发生后，被保险人为避免或减轻患者损害，或者为了防止赔偿扩大所支付的必须、合理的费用，保险人负责赔偿。</w:t>
      </w:r>
    </w:p>
    <w:p w14:paraId="4AF8A799">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凡通过《广东省医疗纠纷预防与处理办法》第七条约定途径处理的医疗损害责任事件、医疗意外事件以及其他损害事件，保险人均应认可处理结果。具体形式包括但不限于：</w:t>
      </w:r>
    </w:p>
    <w:p w14:paraId="2759791F">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（1）经医患双方协商认定的（赔付金额在1万元（含）以内）的。</w:t>
      </w:r>
    </w:p>
    <w:p w14:paraId="5C62BB2D">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（2）经人民调解委员会调解。</w:t>
      </w:r>
    </w:p>
    <w:p w14:paraId="4800AD12">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（3）经医学会鉴定或司法鉴定。</w:t>
      </w:r>
    </w:p>
    <w:p w14:paraId="53F2B486">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（4）经仲裁院仲裁。</w:t>
      </w:r>
    </w:p>
    <w:p w14:paraId="3408479A">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（5）经法院判决或调解。</w:t>
      </w:r>
    </w:p>
    <w:p w14:paraId="3223AA1E">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（6）医院专家委员会与保险人共同认定。</w:t>
      </w:r>
    </w:p>
    <w:p w14:paraId="5E91A982">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对既必须紧急处理的、又可认定确属保险责任范围赔案，但又不能确定其赔款的，应当根据已有单证和资料，按其最低赔款或者用于应急处理所需的部分赔款，保险人先予支付，在最终核定赔偿金额后，再支付相应的差额。</w:t>
      </w:r>
    </w:p>
    <w:p w14:paraId="5C516F60">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对于属于保险责任的案件，保险人收齐理赔资料后，应在15个工作日内制作赔款计算书并支付给被保险人或直接支付赔款给患方</w:t>
      </w:r>
      <w:r>
        <w:rPr>
          <w:rFonts w:hint="eastAsia" w:ascii="宋体 (正文)" w:hAnsi="宋体 (正文)" w:eastAsia="宋体 (正文)" w:cs="宋体 (正文)"/>
          <w:color w:val="auto"/>
          <w:szCs w:val="21"/>
          <w:lang w:eastAsia="zh-CN"/>
        </w:rPr>
        <w:t>，</w:t>
      </w:r>
      <w:r>
        <w:rPr>
          <w:rFonts w:hint="eastAsia"/>
          <w:lang w:val="en-US" w:eastAsia="zh-CN"/>
        </w:rPr>
        <w:t>具体理赔时效按附件一处理</w:t>
      </w:r>
      <w:r>
        <w:rPr>
          <w:rFonts w:hint="eastAsia" w:ascii="宋体 (正文)" w:hAnsi="宋体 (正文)" w:eastAsia="宋体 (正文)" w:cs="宋体 (正文)"/>
          <w:color w:val="auto"/>
          <w:szCs w:val="21"/>
        </w:rPr>
        <w:t>。</w:t>
      </w:r>
    </w:p>
    <w:p w14:paraId="35224D62">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保险期间，由</w:t>
      </w:r>
      <w:r>
        <w:rPr>
          <w:rFonts w:hint="eastAsia" w:ascii="宋体 (正文)" w:hAnsi="宋体 (正文)" w:eastAsia="宋体 (正文)" w:cs="宋体 (正文)"/>
          <w:color w:val="auto"/>
          <w:szCs w:val="21"/>
          <w:lang w:val="en-US" w:eastAsia="zh-CN"/>
        </w:rPr>
        <w:t>中标单位</w:t>
      </w:r>
      <w:r>
        <w:rPr>
          <w:rFonts w:hint="eastAsia" w:ascii="宋体 (正文)" w:hAnsi="宋体 (正文)" w:eastAsia="宋体 (正文)" w:cs="宋体 (正文)"/>
          <w:color w:val="auto"/>
          <w:szCs w:val="21"/>
        </w:rPr>
        <w:t>组织至少一次关于医疗法律法规或者医疗纠纷预防和处理的相关培训，培训相关费用由</w:t>
      </w:r>
      <w:r>
        <w:rPr>
          <w:rFonts w:hint="eastAsia" w:ascii="宋体 (正文)" w:hAnsi="宋体 (正文)" w:eastAsia="宋体 (正文)" w:cs="宋体 (正文)"/>
          <w:color w:val="auto"/>
          <w:szCs w:val="21"/>
          <w:lang w:val="en-US" w:eastAsia="zh-CN"/>
        </w:rPr>
        <w:t>中标单位</w:t>
      </w:r>
      <w:bookmarkStart w:id="19" w:name="_GoBack"/>
      <w:bookmarkEnd w:id="19"/>
      <w:r>
        <w:rPr>
          <w:rFonts w:hint="eastAsia" w:ascii="宋体 (正文)" w:hAnsi="宋体 (正文)" w:eastAsia="宋体 (正文)" w:cs="宋体 (正文)"/>
          <w:color w:val="auto"/>
          <w:szCs w:val="21"/>
        </w:rPr>
        <w:t>承担。</w:t>
      </w:r>
    </w:p>
    <w:p w14:paraId="6EB20C35">
      <w:pPr>
        <w:keepNext w:val="0"/>
        <w:keepLines w:val="0"/>
        <w:pageBreakBefore w:val="0"/>
        <w:widowControl w:val="0"/>
        <w:numPr>
          <w:ilvl w:val="0"/>
          <w:numId w:val="2"/>
        </w:numPr>
        <w:shd w:val="clear"/>
        <w:kinsoku/>
        <w:wordWrap/>
        <w:overflowPunct/>
        <w:topLinePunct w:val="0"/>
        <w:autoSpaceDE/>
        <w:autoSpaceDN/>
        <w:bidi w:val="0"/>
        <w:adjustRightInd/>
        <w:snapToGrid/>
        <w:spacing w:line="400" w:lineRule="exact"/>
        <w:ind w:left="0" w:leftChars="0" w:firstLine="420" w:firstLineChars="200"/>
        <w:textAlignment w:val="auto"/>
        <w:rPr>
          <w:rFonts w:ascii="宋体 (正文)" w:hAnsi="宋体 (正文)" w:eastAsia="宋体 (正文)" w:cs="宋体 (正文)"/>
          <w:color w:val="auto"/>
          <w:szCs w:val="21"/>
        </w:rPr>
      </w:pPr>
      <w:r>
        <w:rPr>
          <w:rFonts w:hint="eastAsia" w:ascii="宋体 (正文)" w:hAnsi="宋体 (正文)" w:eastAsia="宋体 (正文)" w:cs="宋体 (正文)"/>
          <w:color w:val="auto"/>
          <w:szCs w:val="21"/>
        </w:rPr>
        <w:t>保险人工作人员在工作过程中，若因工作方式、方法不当或者因重大疏忽或错误等主观原因造成患方向被保险人提出严重投诉的或者造成恶劣影响</w:t>
      </w:r>
      <w:r>
        <w:rPr>
          <w:rFonts w:hint="eastAsia" w:ascii="宋体 (正文)" w:hAnsi="宋体 (正文)" w:eastAsia="宋体 (正文)" w:cs="宋体 (正文)"/>
          <w:color w:val="auto"/>
          <w:szCs w:val="21"/>
          <w:highlight w:val="none"/>
        </w:rPr>
        <w:t>，保险人依法应承担相应责任。</w:t>
      </w:r>
    </w:p>
    <w:p w14:paraId="100FA540">
      <w:pPr>
        <w:pageBreakBefore w:val="0"/>
        <w:shd w:val="clear"/>
        <w:kinsoku/>
        <w:wordWrap/>
        <w:overflowPunct/>
        <w:topLinePunct w:val="0"/>
        <w:bidi w:val="0"/>
        <w:snapToGrid/>
        <w:spacing w:line="400" w:lineRule="exact"/>
        <w:textAlignment w:val="auto"/>
        <w:rPr>
          <w:rFonts w:ascii="宋体 (正文)" w:hAnsi="宋体 (正文)" w:eastAsia="宋体 (正文)" w:cs="宋体 (正文)"/>
          <w:b/>
          <w:bCs/>
          <w:color w:val="auto"/>
          <w:szCs w:val="21"/>
        </w:rPr>
      </w:pPr>
      <w:bookmarkStart w:id="18" w:name="_Toc14663"/>
    </w:p>
    <w:bookmarkEnd w:id="18"/>
    <w:p w14:paraId="1648AF94">
      <w:pPr>
        <w:pageBreakBefore w:val="0"/>
        <w:shd w:val="clear"/>
        <w:kinsoku/>
        <w:wordWrap/>
        <w:overflowPunct/>
        <w:topLinePunct w:val="0"/>
        <w:bidi w:val="0"/>
        <w:snapToGrid/>
        <w:spacing w:line="400" w:lineRule="exact"/>
        <w:textAlignment w:val="auto"/>
        <w:rPr>
          <w:rFonts w:hint="eastAsia" w:ascii="宋体" w:hAnsi="宋体"/>
          <w:color w:val="auto"/>
          <w:sz w:val="21"/>
          <w:szCs w:val="21"/>
        </w:rPr>
      </w:pPr>
    </w:p>
    <w:sectPr>
      <w:headerReference r:id="rId3" w:type="default"/>
      <w:footerReference r:id="rId4" w:type="default"/>
      <w:pgSz w:w="11906" w:h="16838"/>
      <w:pgMar w:top="1440" w:right="1588" w:bottom="1418" w:left="1758"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宋体 (正文)">
    <w:altName w:val="宋体"/>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76FC">
    <w:pPr>
      <w:pStyle w:val="8"/>
      <w:jc w:val="center"/>
    </w:pPr>
    <w:r>
      <w:fldChar w:fldCharType="begin"/>
    </w:r>
    <w:r>
      <w:instrText xml:space="preserve">PAGE   \* MERGEFORMAT</w:instrText>
    </w:r>
    <w:r>
      <w:fldChar w:fldCharType="separate"/>
    </w:r>
    <w:r>
      <w:rPr>
        <w:lang w:val="zh-CN"/>
      </w:rPr>
      <w:t>16</w:t>
    </w:r>
    <w:r>
      <w:fldChar w:fldCharType="end"/>
    </w:r>
  </w:p>
  <w:p w14:paraId="4C0D276A">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24DBC">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1A33E3"/>
    <w:multiLevelType w:val="singleLevel"/>
    <w:tmpl w:val="DA1A33E3"/>
    <w:lvl w:ilvl="0" w:tentative="0">
      <w:start w:val="1"/>
      <w:numFmt w:val="chineseCounting"/>
      <w:suff w:val="nothing"/>
      <w:lvlText w:val="%1、"/>
      <w:lvlJc w:val="left"/>
      <w:pPr>
        <w:tabs>
          <w:tab w:val="left" w:pos="0"/>
        </w:tabs>
        <w:ind w:left="0" w:firstLine="0"/>
      </w:pPr>
      <w:rPr>
        <w:rFonts w:hint="eastAsia"/>
        <w:b/>
      </w:rPr>
    </w:lvl>
  </w:abstractNum>
  <w:abstractNum w:abstractNumId="1">
    <w:nsid w:val="541594F3"/>
    <w:multiLevelType w:val="singleLevel"/>
    <w:tmpl w:val="541594F3"/>
    <w:lvl w:ilvl="0" w:tentative="0">
      <w:start w:val="1"/>
      <w:numFmt w:val="decimal"/>
      <w:suff w:val="nothing"/>
      <w:lvlText w:val="%1."/>
      <w:lvlJc w:val="left"/>
      <w:pPr>
        <w:tabs>
          <w:tab w:val="left" w:pos="397"/>
        </w:tabs>
        <w:ind w:left="283" w:leftChars="0" w:hanging="283"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2ZGVjNDUxNTkxYTMyZjlkZjk1YWZmZmMyMDAwMjUifQ=="/>
  </w:docVars>
  <w:rsids>
    <w:rsidRoot w:val="00172A27"/>
    <w:rsid w:val="00013022"/>
    <w:rsid w:val="001B265C"/>
    <w:rsid w:val="00381DB7"/>
    <w:rsid w:val="003840BB"/>
    <w:rsid w:val="004C6CDB"/>
    <w:rsid w:val="00781496"/>
    <w:rsid w:val="00992895"/>
    <w:rsid w:val="00AA4F43"/>
    <w:rsid w:val="0E8C1030"/>
    <w:rsid w:val="0FB30541"/>
    <w:rsid w:val="18EB2C7F"/>
    <w:rsid w:val="1BD6563D"/>
    <w:rsid w:val="1E18612D"/>
    <w:rsid w:val="28462205"/>
    <w:rsid w:val="2C2368DE"/>
    <w:rsid w:val="30A734F4"/>
    <w:rsid w:val="38996E83"/>
    <w:rsid w:val="38AF7C8F"/>
    <w:rsid w:val="3A685DEE"/>
    <w:rsid w:val="3B145246"/>
    <w:rsid w:val="3D9577EB"/>
    <w:rsid w:val="442731C5"/>
    <w:rsid w:val="4C4A2253"/>
    <w:rsid w:val="513523B2"/>
    <w:rsid w:val="56791416"/>
    <w:rsid w:val="568F178A"/>
    <w:rsid w:val="582370E4"/>
    <w:rsid w:val="5AC95E69"/>
    <w:rsid w:val="5F7F0643"/>
    <w:rsid w:val="605B5E10"/>
    <w:rsid w:val="605C0583"/>
    <w:rsid w:val="61650B6D"/>
    <w:rsid w:val="6B0845B4"/>
    <w:rsid w:val="6E7B75BF"/>
    <w:rsid w:val="72AF6C52"/>
    <w:rsid w:val="75C37F32"/>
    <w:rsid w:val="791E4E48"/>
    <w:rsid w:val="7AA55ED1"/>
    <w:rsid w:val="7B19666A"/>
    <w:rsid w:val="7B5557DC"/>
    <w:rsid w:val="7C85772D"/>
    <w:rsid w:val="7E415AF4"/>
    <w:rsid w:val="7E9D1F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qFormat/>
    <w:uiPriority w:val="0"/>
    <w:pPr>
      <w:keepNext/>
      <w:keepLines/>
      <w:spacing w:before="260" w:beforeLines="0" w:after="260" w:afterLines="0" w:line="416" w:lineRule="auto"/>
      <w:outlineLvl w:val="1"/>
    </w:pPr>
    <w:rPr>
      <w:rFonts w:ascii="Arial" w:hAnsi="Arial" w:eastAsia="黑体"/>
      <w:b/>
      <w:bCs/>
      <w:sz w:val="32"/>
      <w:szCs w:val="32"/>
    </w:rPr>
  </w:style>
  <w:style w:type="character" w:default="1" w:styleId="13">
    <w:name w:val="Default Paragraph Font"/>
    <w:autoRedefine/>
    <w:semiHidden/>
    <w:qFormat/>
    <w:uiPriority w:val="0"/>
  </w:style>
  <w:style w:type="table" w:default="1" w:styleId="12">
    <w:name w:val="Normal Table"/>
    <w:autoRedefine/>
    <w:unhideWhenUsed/>
    <w:qFormat/>
    <w:uiPriority w:val="99"/>
    <w:tblPr>
      <w:tblCellMar>
        <w:top w:w="0" w:type="dxa"/>
        <w:left w:w="108" w:type="dxa"/>
        <w:bottom w:w="0" w:type="dxa"/>
        <w:right w:w="108" w:type="dxa"/>
      </w:tblCellMar>
    </w:tblPr>
  </w:style>
  <w:style w:type="paragraph" w:styleId="3">
    <w:name w:val="Normal Indent"/>
    <w:basedOn w:val="1"/>
    <w:link w:val="17"/>
    <w:autoRedefine/>
    <w:qFormat/>
    <w:uiPriority w:val="0"/>
    <w:pPr>
      <w:adjustRightInd w:val="0"/>
      <w:spacing w:line="312" w:lineRule="atLeast"/>
      <w:ind w:firstLine="420"/>
      <w:textAlignment w:val="baseline"/>
    </w:pPr>
    <w:rPr>
      <w:kern w:val="0"/>
      <w:szCs w:val="20"/>
    </w:rPr>
  </w:style>
  <w:style w:type="paragraph" w:styleId="4">
    <w:name w:val="annotation text"/>
    <w:basedOn w:val="1"/>
    <w:autoRedefine/>
    <w:qFormat/>
    <w:uiPriority w:val="0"/>
    <w:pPr>
      <w:jc w:val="left"/>
    </w:pPr>
  </w:style>
  <w:style w:type="paragraph" w:styleId="5">
    <w:name w:val="Body Text"/>
    <w:basedOn w:val="1"/>
    <w:autoRedefine/>
    <w:qFormat/>
    <w:uiPriority w:val="0"/>
    <w:pPr>
      <w:spacing w:after="120" w:afterLines="0"/>
    </w:pPr>
  </w:style>
  <w:style w:type="paragraph" w:styleId="6">
    <w:name w:val="Body Text Indent"/>
    <w:basedOn w:val="1"/>
    <w:autoRedefine/>
    <w:qFormat/>
    <w:uiPriority w:val="0"/>
    <w:pPr>
      <w:spacing w:after="120" w:afterLines="0"/>
      <w:ind w:left="420" w:leftChars="200"/>
    </w:pPr>
  </w:style>
  <w:style w:type="paragraph" w:styleId="7">
    <w:name w:val="Body Text Indent 2"/>
    <w:basedOn w:val="1"/>
    <w:autoRedefine/>
    <w:qFormat/>
    <w:uiPriority w:val="0"/>
    <w:pPr>
      <w:spacing w:after="120" w:afterLines="0" w:line="480" w:lineRule="auto"/>
      <w:ind w:left="420" w:leftChars="200"/>
    </w:pPr>
  </w:style>
  <w:style w:type="paragraph" w:styleId="8">
    <w:name w:val="footer"/>
    <w:basedOn w:val="1"/>
    <w:link w:val="16"/>
    <w:autoRedefine/>
    <w:qFormat/>
    <w:uiPriority w:val="99"/>
    <w:pPr>
      <w:tabs>
        <w:tab w:val="center" w:pos="4153"/>
        <w:tab w:val="right" w:pos="8306"/>
      </w:tabs>
      <w:snapToGrid w:val="0"/>
      <w:jc w:val="left"/>
    </w:pPr>
    <w:rPr>
      <w:sz w:val="18"/>
      <w:szCs w:val="18"/>
    </w:rPr>
  </w:style>
  <w:style w:type="paragraph" w:styleId="9">
    <w:name w:val="header"/>
    <w:basedOn w:val="1"/>
    <w:link w:val="19"/>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Body Text 2"/>
    <w:basedOn w:val="1"/>
    <w:autoRedefine/>
    <w:qFormat/>
    <w:uiPriority w:val="0"/>
    <w:pPr>
      <w:spacing w:after="120" w:afterLines="0" w:line="480" w:lineRule="auto"/>
    </w:pPr>
  </w:style>
  <w:style w:type="paragraph" w:styleId="11">
    <w:name w:val="Normal (Web)"/>
    <w:basedOn w:val="1"/>
    <w:autoRedefine/>
    <w:qFormat/>
    <w:uiPriority w:val="0"/>
    <w:pPr>
      <w:spacing w:before="100" w:beforeAutospacing="1" w:after="100" w:afterAutospacing="1"/>
      <w:ind w:left="0" w:right="0"/>
      <w:jc w:val="left"/>
    </w:pPr>
    <w:rPr>
      <w:kern w:val="0"/>
      <w:sz w:val="24"/>
      <w:lang w:val="en-US" w:eastAsia="zh-CN" w:bidi="ar"/>
    </w:rPr>
  </w:style>
  <w:style w:type="character" w:styleId="14">
    <w:name w:val="Emphasis"/>
    <w:basedOn w:val="13"/>
    <w:autoRedefine/>
    <w:qFormat/>
    <w:uiPriority w:val="0"/>
    <w:rPr>
      <w:i/>
    </w:rPr>
  </w:style>
  <w:style w:type="character" w:customStyle="1" w:styleId="15">
    <w:name w:val="apple-style-span"/>
    <w:basedOn w:val="13"/>
    <w:autoRedefine/>
    <w:qFormat/>
    <w:uiPriority w:val="0"/>
  </w:style>
  <w:style w:type="character" w:customStyle="1" w:styleId="16">
    <w:name w:val="页脚 Char"/>
    <w:link w:val="8"/>
    <w:autoRedefine/>
    <w:qFormat/>
    <w:uiPriority w:val="99"/>
    <w:rPr>
      <w:kern w:val="2"/>
      <w:sz w:val="18"/>
      <w:szCs w:val="18"/>
    </w:rPr>
  </w:style>
  <w:style w:type="character" w:customStyle="1" w:styleId="17">
    <w:name w:val="正文缩进 Char"/>
    <w:link w:val="3"/>
    <w:autoRedefine/>
    <w:qFormat/>
    <w:uiPriority w:val="0"/>
    <w:rPr>
      <w:sz w:val="21"/>
    </w:rPr>
  </w:style>
  <w:style w:type="character" w:customStyle="1" w:styleId="18">
    <w:name w:val="apple-converted-space"/>
    <w:basedOn w:val="13"/>
    <w:autoRedefine/>
    <w:qFormat/>
    <w:uiPriority w:val="0"/>
  </w:style>
  <w:style w:type="character" w:customStyle="1" w:styleId="19">
    <w:name w:val="页眉 Char"/>
    <w:link w:val="9"/>
    <w:autoRedefine/>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lethink</Company>
  <Pages>4</Pages>
  <Words>2592</Words>
  <Characters>2665</Characters>
  <Lines>125</Lines>
  <Paragraphs>35</Paragraphs>
  <TotalTime>5</TotalTime>
  <ScaleCrop>false</ScaleCrop>
  <LinksUpToDate>false</LinksUpToDate>
  <CharactersWithSpaces>2674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2010-06-23T02:13:00Z</dcterms:created>
  <dc:creator>lethink</dc:creator>
  <cp:lastModifiedBy>scott</cp:lastModifiedBy>
  <cp:lastPrinted>2023-04-23T10:15:00Z</cp:lastPrinted>
  <dcterms:modified xsi:type="dcterms:W3CDTF">2025-05-09T08:04:04Z</dcterms:modified>
  <dc:title>财产一切险明细表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483AEC2FEE1D4E4F8FE832DC10E26A02_13</vt:lpwstr>
  </property>
  <property fmtid="{D5CDD505-2E9C-101B-9397-08002B2CF9AE}" pid="4" name="KSOTemplateDocerSaveRecord">
    <vt:lpwstr>eyJoZGlkIjoiOGM2ZGVjNDUxNTkxYTMyZjlkZjk1YWZmZmMyMDAwMjUiLCJ1c2VySWQiOiIyNDg0MjA5MjAifQ==</vt:lpwstr>
  </property>
</Properties>
</file>