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DF3B6">
      <w:pPr>
        <w:jc w:val="center"/>
        <w:rPr>
          <w:rFonts w:ascii="黑体" w:hAnsi="黑体" w:eastAsia="黑体" w:cs="黑体"/>
          <w:sz w:val="36"/>
          <w:szCs w:val="36"/>
        </w:rPr>
      </w:pPr>
      <w:r>
        <w:rPr>
          <w:rFonts w:hint="eastAsia" w:ascii="黑体" w:hAnsi="黑体" w:eastAsia="黑体" w:cs="黑体"/>
          <w:kern w:val="2"/>
          <w:sz w:val="36"/>
          <w:szCs w:val="36"/>
        </w:rPr>
        <w:t>深圳市中医肛肠医院（福田）新址医疗配套设备及信息化建设项目（医疗配套设备购置及开办费部分）结算和决算审核</w:t>
      </w:r>
      <w:r>
        <w:rPr>
          <w:rFonts w:hint="eastAsia" w:ascii="黑体" w:hAnsi="黑体" w:eastAsia="黑体" w:cs="黑体"/>
          <w:sz w:val="36"/>
          <w:szCs w:val="36"/>
        </w:rPr>
        <w:t>采购需求书</w:t>
      </w:r>
    </w:p>
    <w:p w14:paraId="3ADF8FD6">
      <w:pPr>
        <w:jc w:val="center"/>
        <w:rPr>
          <w:rFonts w:ascii="仿宋_GB2312" w:eastAsia="仿宋_GB2312" w:cs="黑体"/>
          <w:b/>
          <w:sz w:val="32"/>
          <w:szCs w:val="32"/>
        </w:rPr>
      </w:pPr>
    </w:p>
    <w:p w14:paraId="1785EC11">
      <w:pPr>
        <w:spacing w:line="560" w:lineRule="exact"/>
        <w:ind w:firstLine="640" w:firstLineChars="200"/>
        <w:outlineLvl w:val="0"/>
        <w:rPr>
          <w:rFonts w:ascii="黑体" w:hAnsi="黑体" w:eastAsia="黑体"/>
          <w:sz w:val="32"/>
          <w:szCs w:val="32"/>
        </w:rPr>
      </w:pPr>
      <w:r>
        <w:rPr>
          <w:rFonts w:hint="eastAsia" w:ascii="黑体" w:hAnsi="黑体" w:eastAsia="黑体"/>
          <w:sz w:val="32"/>
          <w:szCs w:val="32"/>
        </w:rPr>
        <w:t>一、项目概况</w:t>
      </w:r>
    </w:p>
    <w:p w14:paraId="0C41A340">
      <w:pPr>
        <w:spacing w:line="500" w:lineRule="exact"/>
        <w:ind w:firstLine="562" w:firstLineChars="200"/>
        <w:rPr>
          <w:rFonts w:ascii="仿宋_GB2312" w:hAnsi="仿宋" w:eastAsia="仿宋_GB2312"/>
          <w:bCs/>
          <w:sz w:val="28"/>
          <w:szCs w:val="28"/>
        </w:rPr>
      </w:pPr>
      <w:r>
        <w:rPr>
          <w:rFonts w:hint="eastAsia" w:ascii="仿宋_GB2312" w:hAnsi="仿宋" w:eastAsia="仿宋_GB2312"/>
          <w:b/>
          <w:bCs/>
          <w:sz w:val="28"/>
          <w:szCs w:val="28"/>
        </w:rPr>
        <w:t>1.项目名称：</w:t>
      </w:r>
      <w:r>
        <w:rPr>
          <w:rFonts w:hint="eastAsia" w:ascii="仿宋_GB2312" w:hAnsi="仿宋" w:eastAsia="仿宋_GB2312"/>
          <w:bCs/>
          <w:sz w:val="28"/>
          <w:szCs w:val="28"/>
        </w:rPr>
        <w:t>深圳市中医肛肠医院（福田）新址医疗配套设备及信息化建设项目（医疗配套设备购置及开办费部分）结算和决算审核</w:t>
      </w:r>
    </w:p>
    <w:p w14:paraId="12C0FA42">
      <w:pPr>
        <w:spacing w:line="500" w:lineRule="exact"/>
        <w:ind w:firstLine="562" w:firstLineChars="200"/>
        <w:rPr>
          <w:rFonts w:ascii="仿宋_GB2312" w:hAnsi="仿宋" w:eastAsia="仿宋_GB2312"/>
          <w:bCs/>
          <w:sz w:val="28"/>
          <w:szCs w:val="28"/>
        </w:rPr>
      </w:pPr>
      <w:r>
        <w:rPr>
          <w:rFonts w:hint="eastAsia" w:ascii="仿宋_GB2312" w:hAnsi="仿宋" w:eastAsia="仿宋_GB2312"/>
          <w:b/>
          <w:bCs/>
          <w:sz w:val="28"/>
          <w:szCs w:val="28"/>
        </w:rPr>
        <w:t>2.项目类型：</w:t>
      </w:r>
      <w:r>
        <w:rPr>
          <w:rFonts w:hint="eastAsia" w:ascii="仿宋_GB2312" w:hAnsi="仿宋" w:eastAsia="仿宋_GB2312"/>
          <w:bCs/>
          <w:sz w:val="28"/>
          <w:szCs w:val="28"/>
        </w:rPr>
        <w:t>服务类</w:t>
      </w:r>
    </w:p>
    <w:p w14:paraId="3F4CAA57">
      <w:pPr>
        <w:spacing w:line="500" w:lineRule="exact"/>
        <w:ind w:firstLine="562" w:firstLineChars="200"/>
        <w:rPr>
          <w:rFonts w:ascii="仿宋_GB2312" w:hAnsi="仿宋" w:eastAsia="仿宋_GB2312"/>
          <w:bCs/>
          <w:sz w:val="28"/>
          <w:szCs w:val="28"/>
        </w:rPr>
      </w:pPr>
      <w:r>
        <w:rPr>
          <w:rFonts w:hint="eastAsia" w:ascii="仿宋_GB2312" w:hAnsi="仿宋" w:eastAsia="仿宋_GB2312"/>
          <w:b/>
          <w:bCs/>
          <w:sz w:val="28"/>
          <w:szCs w:val="28"/>
        </w:rPr>
        <w:t>3.项目背景：</w:t>
      </w:r>
      <w:r>
        <w:rPr>
          <w:rFonts w:hint="eastAsia" w:ascii="仿宋_GB2312" w:hAnsi="仿宋" w:eastAsia="仿宋_GB2312"/>
          <w:bCs/>
          <w:sz w:val="28"/>
          <w:szCs w:val="28"/>
        </w:rPr>
        <w:t>深圳市中医肛肠医院（福田）新址医疗配套设备及信息化建设项目是医院梅林新址院区开业配套建设项目，其中医疗配套设备购置及开办费部分做为配套建设内容之一已取得项目概算批复。为了更好的推进项目建设，根据相关政府投资项目管理规范，现进行项目医疗配套设备购置及开办费部分结算和决算审核服务商的询价采购工作。现招选专业机构开展深圳市中医肛肠医院（福田）新址医疗配套设备及信息化建设项目（医疗配套设备购置及开办费部分）结算和决算审核。</w:t>
      </w:r>
    </w:p>
    <w:p w14:paraId="446D9397">
      <w:pPr>
        <w:spacing w:line="500" w:lineRule="exact"/>
        <w:ind w:firstLine="562" w:firstLineChars="200"/>
        <w:rPr>
          <w:rFonts w:ascii="仿宋_GB2312" w:hAnsi="仿宋" w:eastAsia="仿宋_GB2312"/>
          <w:bCs/>
          <w:sz w:val="28"/>
          <w:szCs w:val="28"/>
        </w:rPr>
      </w:pPr>
      <w:r>
        <w:rPr>
          <w:rFonts w:hint="eastAsia" w:ascii="仿宋_GB2312" w:hAnsi="仿宋" w:eastAsia="仿宋_GB2312"/>
          <w:b/>
          <w:bCs/>
          <w:sz w:val="28"/>
          <w:szCs w:val="28"/>
        </w:rPr>
        <w:t>4.采购单位：</w:t>
      </w:r>
      <w:r>
        <w:rPr>
          <w:rFonts w:hint="eastAsia" w:ascii="仿宋_GB2312" w:hAnsi="仿宋" w:eastAsia="仿宋_GB2312"/>
          <w:bCs/>
          <w:sz w:val="28"/>
          <w:szCs w:val="28"/>
        </w:rPr>
        <w:t>深圳市中医肛肠医院（福田）。</w:t>
      </w:r>
    </w:p>
    <w:p w14:paraId="434A722D">
      <w:pPr>
        <w:spacing w:line="500" w:lineRule="exact"/>
        <w:ind w:firstLine="562" w:firstLineChars="200"/>
        <w:rPr>
          <w:rFonts w:ascii="仿宋_GB2312" w:hAnsi="仿宋" w:eastAsia="仿宋_GB2312"/>
          <w:bCs/>
          <w:sz w:val="28"/>
          <w:szCs w:val="28"/>
        </w:rPr>
      </w:pPr>
      <w:r>
        <w:rPr>
          <w:rFonts w:hint="eastAsia" w:ascii="仿宋_GB2312" w:hAnsi="仿宋" w:eastAsia="仿宋_GB2312"/>
          <w:b/>
          <w:bCs/>
          <w:sz w:val="28"/>
          <w:szCs w:val="28"/>
        </w:rPr>
        <w:t>5.服务地点：</w:t>
      </w:r>
      <w:r>
        <w:rPr>
          <w:rFonts w:hint="eastAsia" w:ascii="仿宋_GB2312" w:hAnsi="仿宋" w:eastAsia="仿宋_GB2312"/>
          <w:bCs/>
          <w:sz w:val="28"/>
          <w:szCs w:val="28"/>
        </w:rPr>
        <w:t>深圳市中医肛肠医院（福田）。</w:t>
      </w:r>
    </w:p>
    <w:p w14:paraId="49E8CDE0">
      <w:pPr>
        <w:spacing w:line="560" w:lineRule="exact"/>
        <w:ind w:firstLine="640" w:firstLineChars="200"/>
        <w:outlineLvl w:val="0"/>
        <w:rPr>
          <w:rFonts w:ascii="黑体" w:hAnsi="黑体" w:eastAsia="黑体"/>
          <w:sz w:val="32"/>
          <w:szCs w:val="32"/>
        </w:rPr>
      </w:pPr>
      <w:r>
        <w:rPr>
          <w:rFonts w:hint="eastAsia" w:ascii="黑体" w:hAnsi="黑体" w:eastAsia="黑体"/>
          <w:sz w:val="32"/>
          <w:szCs w:val="32"/>
        </w:rPr>
        <w:t>二、预算金额</w:t>
      </w:r>
    </w:p>
    <w:p w14:paraId="6E92537B">
      <w:pPr>
        <w:spacing w:line="50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项目预算金额：</w:t>
      </w:r>
      <w:r>
        <w:rPr>
          <w:rFonts w:ascii="仿宋_GB2312" w:hAnsi="仿宋" w:eastAsia="仿宋_GB2312"/>
          <w:bCs/>
          <w:sz w:val="28"/>
          <w:szCs w:val="28"/>
        </w:rPr>
        <w:t>9.54</w:t>
      </w:r>
      <w:r>
        <w:rPr>
          <w:rFonts w:hint="eastAsia" w:ascii="仿宋_GB2312" w:hAnsi="仿宋" w:eastAsia="仿宋_GB2312"/>
          <w:bCs/>
          <w:sz w:val="28"/>
          <w:szCs w:val="28"/>
        </w:rPr>
        <w:t>万元。包括完成深圳市中医肛肠医院（福田）新址医疗配套设备及信息化建设项目（医疗配套设备购置及开办费部分）结算和决算审核等工作所需的报告编制费、审查费、技术服务费、现场费用（包括办公、生活设施、设备使用、通信费用）、人员工资等不可预见费等一切费用。</w:t>
      </w:r>
    </w:p>
    <w:p w14:paraId="1E1D82AC">
      <w:pPr>
        <w:spacing w:line="560" w:lineRule="exact"/>
        <w:ind w:firstLine="640" w:firstLineChars="200"/>
        <w:outlineLvl w:val="0"/>
        <w:rPr>
          <w:rFonts w:ascii="黑体" w:hAnsi="黑体" w:eastAsia="黑体"/>
          <w:sz w:val="32"/>
          <w:szCs w:val="32"/>
        </w:rPr>
      </w:pPr>
      <w:r>
        <w:rPr>
          <w:rFonts w:hint="eastAsia" w:ascii="黑体" w:hAnsi="黑体" w:eastAsia="黑体"/>
          <w:sz w:val="32"/>
          <w:szCs w:val="32"/>
        </w:rPr>
        <w:t>三、服务要求</w:t>
      </w:r>
    </w:p>
    <w:p w14:paraId="597B21EA">
      <w:pPr>
        <w:widowControl w:val="0"/>
        <w:spacing w:line="560" w:lineRule="exact"/>
        <w:ind w:firstLine="643" w:firstLineChars="200"/>
        <w:jc w:val="both"/>
        <w:outlineLvl w:val="1"/>
        <w:rPr>
          <w:rFonts w:ascii="仿宋_GB2312" w:hAnsi="仿宋" w:eastAsia="仿宋_GB2312"/>
          <w:b/>
          <w:bCs/>
          <w:sz w:val="32"/>
          <w:szCs w:val="32"/>
        </w:rPr>
      </w:pPr>
      <w:r>
        <w:rPr>
          <w:rFonts w:hint="eastAsia" w:ascii="仿宋_GB2312" w:hAnsi="仿宋" w:eastAsia="仿宋_GB2312"/>
          <w:b/>
          <w:bCs/>
          <w:sz w:val="32"/>
          <w:szCs w:val="32"/>
        </w:rPr>
        <w:t>（一）结算审核服务要求</w:t>
      </w:r>
    </w:p>
    <w:p w14:paraId="54DAAAF7">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工程结算</w:t>
      </w:r>
      <w:r>
        <w:rPr>
          <w:rFonts w:hint="eastAsia" w:ascii="仿宋" w:hAnsi="仿宋" w:eastAsia="仿宋"/>
          <w:color w:val="000000"/>
          <w:sz w:val="28"/>
          <w:szCs w:val="28"/>
        </w:rPr>
        <w:t>审核要求如下：</w:t>
      </w:r>
    </w:p>
    <w:p w14:paraId="32F78673">
      <w:pPr>
        <w:tabs>
          <w:tab w:val="left" w:pos="993"/>
        </w:tabs>
        <w:spacing w:line="500" w:lineRule="exact"/>
        <w:ind w:firstLine="562" w:firstLineChars="200"/>
        <w:rPr>
          <w:rFonts w:ascii="仿宋" w:hAnsi="仿宋" w:eastAsia="仿宋"/>
          <w:b/>
          <w:color w:val="000000"/>
          <w:sz w:val="28"/>
          <w:szCs w:val="28"/>
        </w:rPr>
      </w:pPr>
      <w:r>
        <w:rPr>
          <w:rFonts w:hint="eastAsia" w:ascii="仿宋" w:hAnsi="仿宋" w:eastAsia="仿宋"/>
          <w:b/>
          <w:color w:val="000000"/>
          <w:sz w:val="28"/>
          <w:szCs w:val="28"/>
        </w:rPr>
        <w:t>1</w:t>
      </w:r>
      <w:r>
        <w:rPr>
          <w:rFonts w:ascii="仿宋" w:hAnsi="仿宋" w:eastAsia="仿宋"/>
          <w:b/>
          <w:color w:val="000000"/>
          <w:sz w:val="28"/>
          <w:szCs w:val="28"/>
        </w:rPr>
        <w:t>、</w:t>
      </w:r>
      <w:r>
        <w:rPr>
          <w:rFonts w:hint="eastAsia" w:ascii="仿宋" w:hAnsi="仿宋" w:eastAsia="仿宋"/>
          <w:b/>
          <w:color w:val="000000"/>
          <w:sz w:val="28"/>
          <w:szCs w:val="28"/>
        </w:rPr>
        <w:t>审核</w:t>
      </w:r>
      <w:r>
        <w:rPr>
          <w:rFonts w:ascii="仿宋" w:hAnsi="仿宋" w:eastAsia="仿宋"/>
          <w:b/>
          <w:color w:val="000000"/>
          <w:sz w:val="28"/>
          <w:szCs w:val="28"/>
        </w:rPr>
        <w:t>目的</w:t>
      </w:r>
    </w:p>
    <w:p w14:paraId="577C4EFF">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以《造价咨询合同》为前提，根据</w:t>
      </w:r>
      <w:r>
        <w:rPr>
          <w:rFonts w:hint="eastAsia" w:ascii="仿宋" w:hAnsi="仿宋" w:eastAsia="仿宋"/>
          <w:color w:val="000000"/>
          <w:sz w:val="28"/>
          <w:szCs w:val="28"/>
        </w:rPr>
        <w:t>供货</w:t>
      </w:r>
      <w:r>
        <w:rPr>
          <w:rFonts w:ascii="仿宋" w:hAnsi="仿宋" w:eastAsia="仿宋"/>
          <w:color w:val="000000"/>
          <w:sz w:val="28"/>
          <w:szCs w:val="28"/>
        </w:rPr>
        <w:t>单位送审的</w:t>
      </w:r>
      <w:r>
        <w:rPr>
          <w:rFonts w:hint="eastAsia" w:ascii="仿宋" w:hAnsi="仿宋" w:eastAsia="仿宋"/>
          <w:color w:val="000000"/>
          <w:sz w:val="28"/>
          <w:szCs w:val="28"/>
        </w:rPr>
        <w:t>验收</w:t>
      </w:r>
      <w:r>
        <w:rPr>
          <w:rFonts w:hint="eastAsia" w:ascii="仿宋" w:hAnsi="仿宋" w:eastAsia="仿宋"/>
          <w:color w:val="FF0000"/>
          <w:sz w:val="28"/>
          <w:szCs w:val="28"/>
        </w:rPr>
        <w:t>、</w:t>
      </w:r>
      <w:r>
        <w:rPr>
          <w:rFonts w:hint="eastAsia" w:ascii="仿宋" w:hAnsi="仿宋" w:eastAsia="仿宋"/>
          <w:color w:val="000000"/>
          <w:sz w:val="28"/>
          <w:szCs w:val="28"/>
        </w:rPr>
        <w:t>结算资料</w:t>
      </w:r>
      <w:r>
        <w:rPr>
          <w:rFonts w:hint="eastAsia" w:ascii="仿宋" w:hAnsi="仿宋" w:eastAsia="仿宋"/>
          <w:sz w:val="28"/>
          <w:szCs w:val="28"/>
        </w:rPr>
        <w:t>及建设单位的交付入库资料、现场设备、货物情况等</w:t>
      </w:r>
      <w:r>
        <w:rPr>
          <w:rFonts w:ascii="仿宋" w:hAnsi="仿宋" w:eastAsia="仿宋"/>
          <w:sz w:val="28"/>
          <w:szCs w:val="28"/>
        </w:rPr>
        <w:t>，</w:t>
      </w:r>
      <w:r>
        <w:rPr>
          <w:rFonts w:hint="eastAsia" w:ascii="仿宋" w:hAnsi="仿宋" w:eastAsia="仿宋"/>
          <w:color w:val="000000"/>
          <w:sz w:val="28"/>
          <w:szCs w:val="28"/>
        </w:rPr>
        <w:t>开展</w:t>
      </w:r>
      <w:r>
        <w:rPr>
          <w:rFonts w:ascii="仿宋" w:hAnsi="仿宋" w:eastAsia="仿宋"/>
          <w:color w:val="000000"/>
          <w:sz w:val="28"/>
          <w:szCs w:val="28"/>
        </w:rPr>
        <w:t>结算</w:t>
      </w:r>
      <w:r>
        <w:rPr>
          <w:rFonts w:hint="eastAsia" w:ascii="仿宋" w:hAnsi="仿宋" w:eastAsia="仿宋"/>
          <w:color w:val="000000"/>
          <w:sz w:val="28"/>
          <w:szCs w:val="28"/>
        </w:rPr>
        <w:t>审核</w:t>
      </w:r>
      <w:r>
        <w:rPr>
          <w:rFonts w:ascii="仿宋" w:hAnsi="仿宋" w:eastAsia="仿宋"/>
          <w:color w:val="000000"/>
          <w:sz w:val="28"/>
          <w:szCs w:val="28"/>
        </w:rPr>
        <w:t>程序，审核认定该</w:t>
      </w:r>
      <w:r>
        <w:rPr>
          <w:rFonts w:hint="eastAsia" w:ascii="仿宋" w:hAnsi="仿宋" w:eastAsia="仿宋"/>
          <w:color w:val="000000"/>
          <w:sz w:val="28"/>
          <w:szCs w:val="28"/>
        </w:rPr>
        <w:t>项目</w:t>
      </w:r>
      <w:r>
        <w:rPr>
          <w:rFonts w:ascii="仿宋" w:hAnsi="仿宋" w:eastAsia="仿宋"/>
          <w:color w:val="000000"/>
          <w:sz w:val="28"/>
          <w:szCs w:val="28"/>
        </w:rPr>
        <w:t>结算造价，合理的确定和有效的控制造价。</w:t>
      </w:r>
    </w:p>
    <w:p w14:paraId="69CDF087">
      <w:pPr>
        <w:tabs>
          <w:tab w:val="left" w:pos="993"/>
        </w:tabs>
        <w:spacing w:line="500" w:lineRule="exact"/>
        <w:ind w:firstLine="562" w:firstLineChars="200"/>
        <w:rPr>
          <w:rFonts w:ascii="仿宋" w:hAnsi="仿宋" w:eastAsia="仿宋"/>
          <w:b/>
          <w:color w:val="000000"/>
          <w:sz w:val="28"/>
          <w:szCs w:val="28"/>
        </w:rPr>
      </w:pPr>
      <w:r>
        <w:rPr>
          <w:rFonts w:hint="eastAsia" w:ascii="仿宋" w:hAnsi="仿宋" w:eastAsia="仿宋"/>
          <w:b/>
          <w:color w:val="000000"/>
          <w:sz w:val="28"/>
          <w:szCs w:val="28"/>
        </w:rPr>
        <w:t>2</w:t>
      </w:r>
      <w:r>
        <w:rPr>
          <w:rFonts w:ascii="仿宋" w:hAnsi="仿宋" w:eastAsia="仿宋"/>
          <w:b/>
          <w:color w:val="000000"/>
          <w:sz w:val="28"/>
          <w:szCs w:val="28"/>
        </w:rPr>
        <w:t>、</w:t>
      </w:r>
      <w:r>
        <w:rPr>
          <w:rFonts w:hint="eastAsia" w:ascii="仿宋" w:hAnsi="仿宋" w:eastAsia="仿宋"/>
          <w:b/>
          <w:color w:val="000000"/>
          <w:sz w:val="28"/>
          <w:szCs w:val="28"/>
        </w:rPr>
        <w:t>审核</w:t>
      </w:r>
      <w:r>
        <w:rPr>
          <w:rFonts w:ascii="仿宋" w:hAnsi="仿宋" w:eastAsia="仿宋"/>
          <w:b/>
          <w:color w:val="000000"/>
          <w:sz w:val="28"/>
          <w:szCs w:val="28"/>
        </w:rPr>
        <w:t>原则</w:t>
      </w:r>
    </w:p>
    <w:p w14:paraId="1F4DA62D">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在进行结算</w:t>
      </w:r>
      <w:r>
        <w:rPr>
          <w:rFonts w:hint="eastAsia" w:ascii="仿宋" w:hAnsi="仿宋" w:eastAsia="仿宋"/>
          <w:color w:val="000000"/>
          <w:sz w:val="28"/>
          <w:szCs w:val="28"/>
        </w:rPr>
        <w:t>审核</w:t>
      </w:r>
      <w:r>
        <w:rPr>
          <w:rFonts w:ascii="仿宋" w:hAnsi="仿宋" w:eastAsia="仿宋"/>
          <w:color w:val="000000"/>
          <w:sz w:val="28"/>
          <w:szCs w:val="28"/>
        </w:rPr>
        <w:t>过程中，按照合同的约定，在原合同价格基础上，以法律法规及有关规定为依据，坚持实事求是的原则，采用全面审核法和重点审核相结合的原则进行</w:t>
      </w:r>
      <w:r>
        <w:rPr>
          <w:rFonts w:hint="eastAsia" w:ascii="仿宋" w:hAnsi="仿宋" w:eastAsia="仿宋"/>
          <w:color w:val="000000"/>
          <w:sz w:val="28"/>
          <w:szCs w:val="28"/>
        </w:rPr>
        <w:t>结算审核</w:t>
      </w:r>
      <w:r>
        <w:rPr>
          <w:rFonts w:ascii="仿宋" w:hAnsi="仿宋" w:eastAsia="仿宋"/>
          <w:color w:val="000000"/>
          <w:sz w:val="28"/>
          <w:szCs w:val="28"/>
        </w:rPr>
        <w:t>。</w:t>
      </w:r>
    </w:p>
    <w:p w14:paraId="2650C09D">
      <w:pPr>
        <w:tabs>
          <w:tab w:val="left" w:pos="993"/>
        </w:tabs>
        <w:spacing w:line="500" w:lineRule="exact"/>
        <w:ind w:firstLine="562" w:firstLineChars="200"/>
        <w:rPr>
          <w:rFonts w:ascii="仿宋" w:hAnsi="仿宋" w:eastAsia="仿宋"/>
          <w:b/>
          <w:color w:val="000000"/>
          <w:sz w:val="28"/>
          <w:szCs w:val="28"/>
        </w:rPr>
      </w:pPr>
      <w:r>
        <w:rPr>
          <w:rFonts w:hint="eastAsia" w:ascii="仿宋" w:hAnsi="仿宋" w:eastAsia="仿宋"/>
          <w:b/>
          <w:color w:val="000000"/>
          <w:sz w:val="28"/>
          <w:szCs w:val="28"/>
        </w:rPr>
        <w:t>3</w:t>
      </w:r>
      <w:r>
        <w:rPr>
          <w:rFonts w:ascii="仿宋" w:hAnsi="仿宋" w:eastAsia="仿宋"/>
          <w:b/>
          <w:color w:val="000000"/>
          <w:sz w:val="28"/>
          <w:szCs w:val="28"/>
        </w:rPr>
        <w:t>、工作流程</w:t>
      </w:r>
    </w:p>
    <w:p w14:paraId="0AF1C7A7">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1</w:t>
      </w:r>
      <w:r>
        <w:rPr>
          <w:rFonts w:hint="eastAsia" w:ascii="仿宋" w:hAnsi="仿宋" w:eastAsia="仿宋"/>
          <w:color w:val="000000"/>
          <w:sz w:val="28"/>
          <w:szCs w:val="28"/>
        </w:rPr>
        <w:t>）</w:t>
      </w:r>
      <w:r>
        <w:rPr>
          <w:rFonts w:ascii="仿宋" w:hAnsi="仿宋" w:eastAsia="仿宋"/>
          <w:color w:val="000000"/>
          <w:sz w:val="28"/>
          <w:szCs w:val="28"/>
        </w:rPr>
        <w:t>、收集整理资料。与委托方相关负责人沟通联系，并提交《结算资料清单》给委托方。资料要求全面、充分并能满足</w:t>
      </w:r>
      <w:r>
        <w:rPr>
          <w:rFonts w:hint="eastAsia" w:ascii="仿宋" w:hAnsi="仿宋" w:eastAsia="仿宋"/>
          <w:color w:val="000000"/>
          <w:sz w:val="28"/>
          <w:szCs w:val="28"/>
        </w:rPr>
        <w:t>合同</w:t>
      </w:r>
      <w:r>
        <w:rPr>
          <w:rFonts w:ascii="仿宋" w:hAnsi="仿宋" w:eastAsia="仿宋"/>
          <w:color w:val="000000"/>
          <w:sz w:val="28"/>
          <w:szCs w:val="28"/>
        </w:rPr>
        <w:t>计量，送审资料应包括但不限下列全部内容</w:t>
      </w:r>
      <w:r>
        <w:rPr>
          <w:rFonts w:hint="eastAsia" w:ascii="仿宋" w:hAnsi="仿宋" w:eastAsia="仿宋"/>
          <w:color w:val="000000"/>
          <w:sz w:val="28"/>
          <w:szCs w:val="28"/>
        </w:rPr>
        <w:t>：</w:t>
      </w:r>
    </w:p>
    <w:p w14:paraId="35A1EFDB">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（1）招标文件、招标答疑记录、</w:t>
      </w:r>
      <w:r>
        <w:rPr>
          <w:rFonts w:hint="eastAsia" w:ascii="仿宋" w:hAnsi="仿宋" w:eastAsia="仿宋"/>
          <w:color w:val="000000"/>
          <w:sz w:val="28"/>
          <w:szCs w:val="28"/>
        </w:rPr>
        <w:t>设备及货物</w:t>
      </w:r>
      <w:r>
        <w:rPr>
          <w:rFonts w:ascii="仿宋" w:hAnsi="仿宋" w:eastAsia="仿宋"/>
          <w:color w:val="000000"/>
          <w:sz w:val="28"/>
          <w:szCs w:val="28"/>
        </w:rPr>
        <w:t>清单、招标控制价等相关资料；</w:t>
      </w:r>
    </w:p>
    <w:p w14:paraId="02E153AB">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（2）投标文件、投标文件商务标、投标报价表、结算书纸质版及电子版等；</w:t>
      </w:r>
    </w:p>
    <w:p w14:paraId="36F4EC70">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（3）招标备案记录或评标记录、中标通知书等；</w:t>
      </w:r>
    </w:p>
    <w:p w14:paraId="01F55740">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（4）</w:t>
      </w:r>
      <w:r>
        <w:rPr>
          <w:rFonts w:hint="eastAsia" w:ascii="仿宋" w:hAnsi="仿宋" w:eastAsia="仿宋"/>
          <w:color w:val="000000"/>
          <w:sz w:val="28"/>
          <w:szCs w:val="28"/>
        </w:rPr>
        <w:t>供货</w:t>
      </w:r>
      <w:r>
        <w:rPr>
          <w:rFonts w:ascii="仿宋" w:hAnsi="仿宋" w:eastAsia="仿宋"/>
          <w:color w:val="000000"/>
          <w:sz w:val="28"/>
          <w:szCs w:val="28"/>
        </w:rPr>
        <w:t>合同、补充合同（协议）、会议纪要等合同性文件等；</w:t>
      </w:r>
    </w:p>
    <w:p w14:paraId="0776129B">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（5）</w:t>
      </w:r>
      <w:r>
        <w:rPr>
          <w:rFonts w:hint="eastAsia" w:ascii="仿宋" w:hAnsi="仿宋" w:eastAsia="仿宋"/>
          <w:color w:val="000000"/>
          <w:sz w:val="28"/>
          <w:szCs w:val="28"/>
        </w:rPr>
        <w:t>供货</w:t>
      </w:r>
      <w:r>
        <w:rPr>
          <w:rFonts w:ascii="仿宋" w:hAnsi="仿宋" w:eastAsia="仿宋"/>
          <w:color w:val="000000"/>
          <w:sz w:val="28"/>
          <w:szCs w:val="28"/>
        </w:rPr>
        <w:t>材料、设备清单明细表</w:t>
      </w:r>
      <w:r>
        <w:rPr>
          <w:rFonts w:ascii="仿宋" w:hAnsi="仿宋" w:eastAsia="仿宋"/>
          <w:sz w:val="28"/>
          <w:szCs w:val="28"/>
        </w:rPr>
        <w:t>及</w:t>
      </w:r>
      <w:r>
        <w:rPr>
          <w:rFonts w:hint="eastAsia" w:ascii="仿宋" w:hAnsi="仿宋" w:eastAsia="仿宋"/>
          <w:sz w:val="28"/>
          <w:szCs w:val="28"/>
        </w:rPr>
        <w:t>交付</w:t>
      </w:r>
      <w:r>
        <w:rPr>
          <w:rFonts w:ascii="仿宋" w:hAnsi="仿宋" w:eastAsia="仿宋"/>
          <w:sz w:val="28"/>
          <w:szCs w:val="28"/>
        </w:rPr>
        <w:t>入库相关资料</w:t>
      </w:r>
      <w:r>
        <w:rPr>
          <w:rFonts w:ascii="仿宋" w:hAnsi="仿宋" w:eastAsia="仿宋"/>
          <w:color w:val="000000"/>
          <w:sz w:val="28"/>
          <w:szCs w:val="28"/>
        </w:rPr>
        <w:t>；</w:t>
      </w:r>
    </w:p>
    <w:p w14:paraId="634AF74B">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（6）批复文件等</w:t>
      </w:r>
    </w:p>
    <w:p w14:paraId="056C584C">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资料提交后填写《文书函件签收表》并签字一式两份，委托方与造价咨询单位各执一份。</w:t>
      </w:r>
    </w:p>
    <w:p w14:paraId="3C3494BE">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2</w:t>
      </w:r>
      <w:r>
        <w:rPr>
          <w:rFonts w:hint="eastAsia" w:ascii="仿宋" w:hAnsi="仿宋" w:eastAsia="仿宋"/>
          <w:color w:val="000000"/>
          <w:sz w:val="28"/>
          <w:szCs w:val="28"/>
        </w:rPr>
        <w:t>）</w:t>
      </w:r>
      <w:r>
        <w:rPr>
          <w:rFonts w:ascii="仿宋" w:hAnsi="仿宋" w:eastAsia="仿宋"/>
          <w:color w:val="000000"/>
          <w:sz w:val="28"/>
          <w:szCs w:val="28"/>
        </w:rPr>
        <w:t>、开展结算</w:t>
      </w:r>
      <w:r>
        <w:rPr>
          <w:rFonts w:hint="eastAsia" w:ascii="仿宋" w:hAnsi="仿宋" w:eastAsia="仿宋"/>
          <w:color w:val="000000"/>
          <w:sz w:val="28"/>
          <w:szCs w:val="28"/>
        </w:rPr>
        <w:t>审核</w:t>
      </w:r>
      <w:r>
        <w:rPr>
          <w:rFonts w:ascii="仿宋" w:hAnsi="仿宋" w:eastAsia="仿宋"/>
          <w:color w:val="000000"/>
          <w:sz w:val="28"/>
          <w:szCs w:val="28"/>
        </w:rPr>
        <w:t>工作</w:t>
      </w:r>
    </w:p>
    <w:p w14:paraId="33EED005">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（1）根据项目情况成立项目结算</w:t>
      </w:r>
      <w:r>
        <w:rPr>
          <w:rFonts w:hint="eastAsia" w:ascii="仿宋" w:hAnsi="仿宋" w:eastAsia="仿宋"/>
          <w:color w:val="000000"/>
          <w:sz w:val="28"/>
          <w:szCs w:val="28"/>
        </w:rPr>
        <w:t>审核</w:t>
      </w:r>
      <w:r>
        <w:rPr>
          <w:rFonts w:ascii="仿宋" w:hAnsi="仿宋" w:eastAsia="仿宋"/>
          <w:color w:val="000000"/>
          <w:sz w:val="28"/>
          <w:szCs w:val="28"/>
        </w:rPr>
        <w:t>小组并确定项目负责人。</w:t>
      </w:r>
    </w:p>
    <w:p w14:paraId="38E3B5CE">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（2）项目负责人根据项目情况制定结算</w:t>
      </w:r>
      <w:r>
        <w:rPr>
          <w:rFonts w:hint="eastAsia" w:ascii="仿宋" w:hAnsi="仿宋" w:eastAsia="仿宋"/>
          <w:color w:val="000000"/>
          <w:sz w:val="28"/>
          <w:szCs w:val="28"/>
        </w:rPr>
        <w:t>审核</w:t>
      </w:r>
      <w:r>
        <w:rPr>
          <w:rFonts w:ascii="仿宋" w:hAnsi="仿宋" w:eastAsia="仿宋"/>
          <w:color w:val="000000"/>
          <w:sz w:val="28"/>
          <w:szCs w:val="28"/>
        </w:rPr>
        <w:t>工作计划，分配项目。</w:t>
      </w:r>
    </w:p>
    <w:p w14:paraId="4BBC2798">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（3）项目组成员开展结算</w:t>
      </w:r>
      <w:r>
        <w:rPr>
          <w:rFonts w:hint="eastAsia" w:ascii="仿宋" w:hAnsi="仿宋" w:eastAsia="仿宋"/>
          <w:color w:val="000000"/>
          <w:sz w:val="28"/>
          <w:szCs w:val="28"/>
        </w:rPr>
        <w:t>审核</w:t>
      </w:r>
      <w:r>
        <w:rPr>
          <w:rFonts w:ascii="仿宋" w:hAnsi="仿宋" w:eastAsia="仿宋"/>
          <w:color w:val="000000"/>
          <w:sz w:val="28"/>
          <w:szCs w:val="28"/>
        </w:rPr>
        <w:t>工作，步骤如下：</w:t>
      </w:r>
    </w:p>
    <w:p w14:paraId="31F4DD47">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①熟悉项目送审结算资料，熟读合同，重点了解项目计价方式、合同价款调整方式等重要条款。</w:t>
      </w:r>
    </w:p>
    <w:p w14:paraId="2F4C90F5">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②通过熟悉结算资料，判断</w:t>
      </w:r>
      <w:r>
        <w:rPr>
          <w:rFonts w:hint="eastAsia" w:ascii="仿宋" w:hAnsi="仿宋" w:eastAsia="仿宋"/>
          <w:color w:val="000000"/>
          <w:sz w:val="28"/>
          <w:szCs w:val="28"/>
        </w:rPr>
        <w:t>项目验收</w:t>
      </w:r>
      <w:r>
        <w:rPr>
          <w:rFonts w:ascii="仿宋" w:hAnsi="仿宋" w:eastAsia="仿宋"/>
          <w:color w:val="000000"/>
          <w:sz w:val="28"/>
          <w:szCs w:val="28"/>
        </w:rPr>
        <w:t>结算资料是否达到</w:t>
      </w:r>
      <w:r>
        <w:rPr>
          <w:rFonts w:hint="eastAsia" w:ascii="仿宋" w:hAnsi="仿宋" w:eastAsia="仿宋"/>
          <w:color w:val="000000"/>
          <w:sz w:val="28"/>
          <w:szCs w:val="28"/>
        </w:rPr>
        <w:t>审核</w:t>
      </w:r>
      <w:r>
        <w:rPr>
          <w:rFonts w:ascii="仿宋" w:hAnsi="仿宋" w:eastAsia="仿宋"/>
          <w:color w:val="000000"/>
          <w:sz w:val="28"/>
          <w:szCs w:val="28"/>
        </w:rPr>
        <w:t>要求，对未达到</w:t>
      </w:r>
      <w:r>
        <w:rPr>
          <w:rFonts w:hint="eastAsia" w:ascii="仿宋" w:hAnsi="仿宋" w:eastAsia="仿宋"/>
          <w:color w:val="000000"/>
          <w:sz w:val="28"/>
          <w:szCs w:val="28"/>
        </w:rPr>
        <w:t>结算</w:t>
      </w:r>
      <w:r>
        <w:rPr>
          <w:rFonts w:ascii="仿宋" w:hAnsi="仿宋" w:eastAsia="仿宋"/>
          <w:color w:val="000000"/>
          <w:sz w:val="28"/>
          <w:szCs w:val="28"/>
        </w:rPr>
        <w:t>要求的项目结算资料反馈给项目负责人，由项目负责人核实后填写《工作联系单》发与委托方。《工作联系单》应写明事件原由、提供的详细资料情况及要求。</w:t>
      </w:r>
    </w:p>
    <w:p w14:paraId="5CFC64C7">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③项目负责人召集项目组成员开会，确定结算</w:t>
      </w:r>
      <w:r>
        <w:rPr>
          <w:rFonts w:hint="eastAsia" w:ascii="仿宋" w:hAnsi="仿宋" w:eastAsia="仿宋"/>
          <w:color w:val="000000"/>
          <w:sz w:val="28"/>
          <w:szCs w:val="28"/>
        </w:rPr>
        <w:t>审核</w:t>
      </w:r>
      <w:r>
        <w:rPr>
          <w:rFonts w:ascii="仿宋" w:hAnsi="仿宋" w:eastAsia="仿宋"/>
          <w:color w:val="000000"/>
          <w:sz w:val="28"/>
          <w:szCs w:val="28"/>
        </w:rPr>
        <w:t>思路及方法。</w:t>
      </w:r>
    </w:p>
    <w:p w14:paraId="759710D6">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④具体</w:t>
      </w:r>
      <w:r>
        <w:rPr>
          <w:rFonts w:hint="eastAsia" w:ascii="仿宋" w:hAnsi="仿宋" w:eastAsia="仿宋"/>
          <w:color w:val="000000"/>
          <w:sz w:val="28"/>
          <w:szCs w:val="28"/>
        </w:rPr>
        <w:t>结算审核</w:t>
      </w:r>
      <w:r>
        <w:rPr>
          <w:rFonts w:ascii="仿宋" w:hAnsi="仿宋" w:eastAsia="仿宋"/>
          <w:color w:val="000000"/>
          <w:sz w:val="28"/>
          <w:szCs w:val="28"/>
        </w:rPr>
        <w:t>工作开始，</w:t>
      </w:r>
      <w:r>
        <w:rPr>
          <w:rFonts w:hint="eastAsia" w:ascii="仿宋" w:hAnsi="仿宋" w:eastAsia="仿宋"/>
          <w:color w:val="000000"/>
          <w:sz w:val="28"/>
          <w:szCs w:val="28"/>
        </w:rPr>
        <w:t>审核</w:t>
      </w:r>
      <w:r>
        <w:rPr>
          <w:rFonts w:ascii="仿宋" w:hAnsi="仿宋" w:eastAsia="仿宋"/>
          <w:color w:val="000000"/>
          <w:sz w:val="28"/>
          <w:szCs w:val="28"/>
        </w:rPr>
        <w:t>重点为</w:t>
      </w:r>
      <w:r>
        <w:rPr>
          <w:rFonts w:hint="eastAsia" w:ascii="仿宋" w:hAnsi="仿宋" w:eastAsia="仿宋"/>
          <w:color w:val="000000"/>
          <w:sz w:val="28"/>
          <w:szCs w:val="28"/>
        </w:rPr>
        <w:t>设备参数、数量是否一致</w:t>
      </w:r>
      <w:r>
        <w:rPr>
          <w:rFonts w:ascii="仿宋" w:hAnsi="仿宋" w:eastAsia="仿宋"/>
          <w:color w:val="000000"/>
          <w:sz w:val="28"/>
          <w:szCs w:val="28"/>
        </w:rPr>
        <w:t>、</w:t>
      </w:r>
      <w:r>
        <w:rPr>
          <w:rFonts w:ascii="仿宋" w:hAnsi="仿宋" w:eastAsia="仿宋"/>
          <w:sz w:val="28"/>
          <w:szCs w:val="28"/>
        </w:rPr>
        <w:t>功能是否满足招标文件要求</w:t>
      </w:r>
      <w:r>
        <w:rPr>
          <w:rFonts w:hint="eastAsia" w:ascii="仿宋" w:hAnsi="仿宋" w:eastAsia="仿宋"/>
          <w:sz w:val="28"/>
          <w:szCs w:val="28"/>
        </w:rPr>
        <w:t>、</w:t>
      </w:r>
      <w:r>
        <w:rPr>
          <w:rFonts w:ascii="仿宋" w:hAnsi="仿宋" w:eastAsia="仿宋"/>
          <w:sz w:val="28"/>
          <w:szCs w:val="28"/>
        </w:rPr>
        <w:t>是否发生变更等，核实</w:t>
      </w:r>
      <w:r>
        <w:rPr>
          <w:rFonts w:hint="eastAsia" w:ascii="仿宋" w:hAnsi="仿宋" w:eastAsia="仿宋"/>
          <w:sz w:val="28"/>
          <w:szCs w:val="28"/>
        </w:rPr>
        <w:t>设备、货物合格证</w:t>
      </w:r>
      <w:r>
        <w:rPr>
          <w:rFonts w:hint="eastAsia" w:ascii="仿宋" w:hAnsi="仿宋" w:eastAsia="仿宋"/>
          <w:color w:val="000000"/>
          <w:sz w:val="28"/>
          <w:szCs w:val="28"/>
        </w:rPr>
        <w:t>的</w:t>
      </w:r>
      <w:r>
        <w:rPr>
          <w:rFonts w:ascii="仿宋" w:hAnsi="仿宋" w:eastAsia="仿宋"/>
          <w:color w:val="000000"/>
          <w:sz w:val="28"/>
          <w:szCs w:val="28"/>
        </w:rPr>
        <w:t>真实合理性及计</w:t>
      </w:r>
      <w:r>
        <w:rPr>
          <w:rFonts w:hint="eastAsia" w:ascii="仿宋" w:hAnsi="仿宋" w:eastAsia="仿宋"/>
          <w:color w:val="000000"/>
          <w:sz w:val="28"/>
          <w:szCs w:val="28"/>
        </w:rPr>
        <w:t>价</w:t>
      </w:r>
      <w:r>
        <w:rPr>
          <w:rFonts w:ascii="仿宋" w:hAnsi="仿宋" w:eastAsia="仿宋"/>
          <w:color w:val="000000"/>
          <w:sz w:val="28"/>
          <w:szCs w:val="28"/>
        </w:rPr>
        <w:t>的准确性等。过程中项目负责人视具体情况应组织项目组成员开会讨论项目进展情况、发现的问题，并一一解决。</w:t>
      </w:r>
    </w:p>
    <w:p w14:paraId="2988D780">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⑤委托方将结算</w:t>
      </w:r>
      <w:r>
        <w:rPr>
          <w:rFonts w:hint="eastAsia" w:ascii="仿宋" w:hAnsi="仿宋" w:eastAsia="仿宋"/>
          <w:color w:val="000000"/>
          <w:sz w:val="28"/>
          <w:szCs w:val="28"/>
        </w:rPr>
        <w:t>审核</w:t>
      </w:r>
      <w:r>
        <w:rPr>
          <w:rFonts w:ascii="仿宋" w:hAnsi="仿宋" w:eastAsia="仿宋"/>
          <w:color w:val="000000"/>
          <w:sz w:val="28"/>
          <w:szCs w:val="28"/>
        </w:rPr>
        <w:t>结果反馈给</w:t>
      </w:r>
      <w:bookmarkStart w:id="0" w:name="OLE_LINK2"/>
      <w:bookmarkStart w:id="1" w:name="OLE_LINK1"/>
      <w:r>
        <w:rPr>
          <w:rFonts w:hint="eastAsia" w:ascii="仿宋" w:hAnsi="仿宋" w:eastAsia="仿宋"/>
          <w:color w:val="000000"/>
          <w:sz w:val="28"/>
          <w:szCs w:val="28"/>
        </w:rPr>
        <w:t>供货</w:t>
      </w:r>
      <w:bookmarkEnd w:id="0"/>
      <w:bookmarkEnd w:id="1"/>
      <w:r>
        <w:rPr>
          <w:rFonts w:ascii="仿宋" w:hAnsi="仿宋" w:eastAsia="仿宋"/>
          <w:color w:val="000000"/>
          <w:sz w:val="28"/>
          <w:szCs w:val="28"/>
        </w:rPr>
        <w:t>单位，</w:t>
      </w:r>
      <w:bookmarkStart w:id="2" w:name="OLE_LINK3"/>
      <w:r>
        <w:rPr>
          <w:rFonts w:hint="eastAsia" w:ascii="仿宋" w:hAnsi="仿宋" w:eastAsia="仿宋"/>
          <w:color w:val="000000"/>
          <w:sz w:val="28"/>
          <w:szCs w:val="28"/>
        </w:rPr>
        <w:t>供货</w:t>
      </w:r>
      <w:r>
        <w:rPr>
          <w:rFonts w:ascii="仿宋" w:hAnsi="仿宋" w:eastAsia="仿宋"/>
          <w:color w:val="000000"/>
          <w:sz w:val="28"/>
          <w:szCs w:val="28"/>
        </w:rPr>
        <w:t>单位</w:t>
      </w:r>
      <w:bookmarkEnd w:id="2"/>
      <w:r>
        <w:rPr>
          <w:rFonts w:ascii="仿宋" w:hAnsi="仿宋" w:eastAsia="仿宋"/>
          <w:color w:val="000000"/>
          <w:sz w:val="28"/>
          <w:szCs w:val="28"/>
        </w:rPr>
        <w:t>对</w:t>
      </w:r>
      <w:r>
        <w:rPr>
          <w:rFonts w:hint="eastAsia" w:ascii="仿宋" w:hAnsi="仿宋" w:eastAsia="仿宋"/>
          <w:color w:val="000000"/>
          <w:sz w:val="28"/>
          <w:szCs w:val="28"/>
        </w:rPr>
        <w:t>结算报告</w:t>
      </w:r>
      <w:r>
        <w:rPr>
          <w:rFonts w:ascii="仿宋" w:hAnsi="仿宋" w:eastAsia="仿宋"/>
          <w:color w:val="000000"/>
          <w:sz w:val="28"/>
          <w:szCs w:val="28"/>
        </w:rPr>
        <w:t>结论无异议的，</w:t>
      </w:r>
      <w:r>
        <w:rPr>
          <w:rFonts w:hint="eastAsia" w:ascii="仿宋" w:hAnsi="仿宋" w:eastAsia="仿宋"/>
          <w:color w:val="000000"/>
          <w:sz w:val="28"/>
          <w:szCs w:val="28"/>
        </w:rPr>
        <w:t>再将结算报告</w:t>
      </w:r>
      <w:r>
        <w:rPr>
          <w:rFonts w:ascii="仿宋" w:hAnsi="仿宋" w:eastAsia="仿宋"/>
          <w:color w:val="000000"/>
          <w:sz w:val="28"/>
          <w:szCs w:val="28"/>
        </w:rPr>
        <w:t>征求委托方意见</w:t>
      </w:r>
      <w:r>
        <w:rPr>
          <w:rFonts w:hint="eastAsia" w:ascii="仿宋" w:hAnsi="仿宋" w:eastAsia="仿宋"/>
          <w:color w:val="000000"/>
          <w:sz w:val="28"/>
          <w:szCs w:val="28"/>
        </w:rPr>
        <w:t>，无异议后</w:t>
      </w:r>
      <w:r>
        <w:rPr>
          <w:rFonts w:ascii="仿宋" w:hAnsi="仿宋" w:eastAsia="仿宋"/>
          <w:color w:val="000000"/>
          <w:sz w:val="28"/>
          <w:szCs w:val="28"/>
        </w:rPr>
        <w:t>出具结算</w:t>
      </w:r>
      <w:r>
        <w:rPr>
          <w:rFonts w:hint="eastAsia" w:ascii="仿宋" w:hAnsi="仿宋" w:eastAsia="仿宋"/>
          <w:color w:val="000000"/>
          <w:sz w:val="28"/>
          <w:szCs w:val="28"/>
        </w:rPr>
        <w:t>审核</w:t>
      </w:r>
      <w:r>
        <w:rPr>
          <w:rFonts w:ascii="仿宋" w:hAnsi="仿宋" w:eastAsia="仿宋"/>
          <w:color w:val="000000"/>
          <w:sz w:val="28"/>
          <w:szCs w:val="28"/>
        </w:rPr>
        <w:t>报告；</w:t>
      </w:r>
      <w:r>
        <w:rPr>
          <w:rFonts w:hint="eastAsia" w:ascii="仿宋" w:hAnsi="仿宋" w:eastAsia="仿宋"/>
          <w:color w:val="000000"/>
          <w:sz w:val="28"/>
          <w:szCs w:val="28"/>
        </w:rPr>
        <w:t>供货</w:t>
      </w:r>
      <w:r>
        <w:rPr>
          <w:rFonts w:ascii="仿宋" w:hAnsi="仿宋" w:eastAsia="仿宋"/>
          <w:color w:val="000000"/>
          <w:sz w:val="28"/>
          <w:szCs w:val="28"/>
        </w:rPr>
        <w:t>单位对</w:t>
      </w:r>
      <w:r>
        <w:rPr>
          <w:rFonts w:hint="eastAsia" w:ascii="仿宋" w:hAnsi="仿宋" w:eastAsia="仿宋"/>
          <w:color w:val="000000"/>
          <w:sz w:val="28"/>
          <w:szCs w:val="28"/>
        </w:rPr>
        <w:t>结算报告</w:t>
      </w:r>
      <w:r>
        <w:rPr>
          <w:rFonts w:ascii="仿宋" w:hAnsi="仿宋" w:eastAsia="仿宋"/>
          <w:color w:val="000000"/>
          <w:sz w:val="28"/>
          <w:szCs w:val="28"/>
        </w:rPr>
        <w:t>结论有异议的，双方就不同意见进行结算核对工作，直至三方达成一致意见，出具结算</w:t>
      </w:r>
      <w:r>
        <w:rPr>
          <w:rFonts w:hint="eastAsia" w:ascii="仿宋" w:hAnsi="仿宋" w:eastAsia="仿宋"/>
          <w:color w:val="000000"/>
          <w:sz w:val="28"/>
          <w:szCs w:val="28"/>
        </w:rPr>
        <w:t>审核</w:t>
      </w:r>
      <w:r>
        <w:rPr>
          <w:rFonts w:ascii="仿宋" w:hAnsi="仿宋" w:eastAsia="仿宋"/>
          <w:color w:val="000000"/>
          <w:sz w:val="28"/>
          <w:szCs w:val="28"/>
        </w:rPr>
        <w:t>报告。</w:t>
      </w:r>
    </w:p>
    <w:p w14:paraId="4C462659">
      <w:pPr>
        <w:tabs>
          <w:tab w:val="left" w:pos="993"/>
        </w:tabs>
        <w:spacing w:line="500" w:lineRule="exact"/>
        <w:ind w:firstLine="560" w:firstLineChars="200"/>
        <w:rPr>
          <w:rFonts w:ascii="仿宋" w:hAnsi="仿宋" w:eastAsia="仿宋"/>
          <w:color w:val="000000"/>
          <w:sz w:val="28"/>
          <w:szCs w:val="28"/>
        </w:rPr>
      </w:pPr>
      <w:r>
        <w:rPr>
          <w:rFonts w:ascii="仿宋" w:hAnsi="仿宋" w:eastAsia="仿宋"/>
          <w:color w:val="000000"/>
          <w:sz w:val="28"/>
          <w:szCs w:val="28"/>
        </w:rPr>
        <w:t>⑥</w:t>
      </w:r>
      <w:r>
        <w:rPr>
          <w:rFonts w:hint="eastAsia" w:ascii="仿宋" w:hAnsi="仿宋" w:eastAsia="仿宋"/>
          <w:color w:val="000000"/>
          <w:sz w:val="28"/>
          <w:szCs w:val="28"/>
        </w:rPr>
        <w:t>输出项目</w:t>
      </w:r>
      <w:r>
        <w:rPr>
          <w:rFonts w:ascii="仿宋" w:hAnsi="仿宋" w:eastAsia="仿宋"/>
          <w:color w:val="000000"/>
          <w:sz w:val="28"/>
          <w:szCs w:val="28"/>
        </w:rPr>
        <w:t>结算</w:t>
      </w:r>
      <w:r>
        <w:rPr>
          <w:rFonts w:hint="eastAsia" w:ascii="仿宋" w:hAnsi="仿宋" w:eastAsia="仿宋"/>
          <w:color w:val="000000"/>
          <w:sz w:val="28"/>
          <w:szCs w:val="28"/>
        </w:rPr>
        <w:t>报告，并协助建设单位完成决算送审</w:t>
      </w:r>
      <w:r>
        <w:rPr>
          <w:rFonts w:ascii="仿宋" w:hAnsi="仿宋" w:eastAsia="仿宋"/>
          <w:color w:val="000000"/>
          <w:sz w:val="28"/>
          <w:szCs w:val="28"/>
        </w:rPr>
        <w:t>。</w:t>
      </w:r>
    </w:p>
    <w:p w14:paraId="7CC91564">
      <w:pPr>
        <w:widowControl w:val="0"/>
        <w:spacing w:line="560" w:lineRule="exact"/>
        <w:ind w:firstLine="643" w:firstLineChars="200"/>
        <w:jc w:val="both"/>
        <w:outlineLvl w:val="1"/>
        <w:rPr>
          <w:rFonts w:ascii="仿宋_GB2312" w:hAnsi="仿宋" w:eastAsia="仿宋_GB2312"/>
          <w:b/>
          <w:bCs/>
          <w:sz w:val="32"/>
          <w:szCs w:val="32"/>
        </w:rPr>
      </w:pPr>
      <w:r>
        <w:rPr>
          <w:rFonts w:hint="eastAsia" w:ascii="仿宋_GB2312" w:hAnsi="仿宋" w:eastAsia="仿宋_GB2312"/>
          <w:b/>
          <w:bCs/>
          <w:sz w:val="32"/>
          <w:szCs w:val="32"/>
        </w:rPr>
        <w:t>（二）决算审核服务要求</w:t>
      </w:r>
    </w:p>
    <w:p w14:paraId="3A9A0F11">
      <w:pPr>
        <w:tabs>
          <w:tab w:val="left" w:pos="993"/>
        </w:tabs>
        <w:spacing w:line="500" w:lineRule="exact"/>
        <w:ind w:firstLine="560" w:firstLineChars="200"/>
        <w:rPr>
          <w:rFonts w:ascii="仿宋" w:hAnsi="仿宋" w:eastAsia="仿宋"/>
          <w:color w:val="000000"/>
          <w:sz w:val="28"/>
          <w:szCs w:val="28"/>
        </w:rPr>
      </w:pPr>
      <w:r>
        <w:rPr>
          <w:rFonts w:hint="eastAsia" w:ascii="MS Gothic" w:hAnsi="MS Gothic" w:eastAsia="MS Gothic" w:cs="MS Gothic"/>
          <w:color w:val="000000"/>
          <w:sz w:val="28"/>
          <w:szCs w:val="28"/>
        </w:rPr>
        <w:t>‌</w:t>
      </w:r>
      <w:r>
        <w:rPr>
          <w:rFonts w:hint="eastAsia" w:ascii="仿宋" w:hAnsi="仿宋" w:eastAsia="仿宋"/>
          <w:color w:val="000000"/>
          <w:sz w:val="28"/>
          <w:szCs w:val="28"/>
        </w:rPr>
        <w:t>1.工程项目概况</w:t>
      </w:r>
    </w:p>
    <w:p w14:paraId="2E68D0F9">
      <w:pPr>
        <w:tabs>
          <w:tab w:val="left" w:pos="993"/>
        </w:tabs>
        <w:spacing w:line="5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2.建设内容情况说明</w:t>
      </w:r>
    </w:p>
    <w:p w14:paraId="30AFE3F4">
      <w:pPr>
        <w:tabs>
          <w:tab w:val="left" w:pos="993"/>
        </w:tabs>
        <w:spacing w:line="5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3.项目建设程序执行情况</w:t>
      </w:r>
    </w:p>
    <w:p w14:paraId="2BEDAF82">
      <w:pPr>
        <w:tabs>
          <w:tab w:val="left" w:pos="993"/>
        </w:tabs>
        <w:spacing w:line="5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4.合同履行及支付情况</w:t>
      </w:r>
    </w:p>
    <w:p w14:paraId="63019C2E">
      <w:pPr>
        <w:tabs>
          <w:tab w:val="left" w:pos="993"/>
        </w:tabs>
        <w:spacing w:line="5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5.资金投入及支付情况</w:t>
      </w:r>
    </w:p>
    <w:p w14:paraId="4F153427">
      <w:pPr>
        <w:tabs>
          <w:tab w:val="left" w:pos="993"/>
        </w:tabs>
        <w:spacing w:line="5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6.预备费动用情况</w:t>
      </w:r>
    </w:p>
    <w:p w14:paraId="34126128">
      <w:pPr>
        <w:tabs>
          <w:tab w:val="left" w:pos="993"/>
        </w:tabs>
        <w:spacing w:line="5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7.完成计划投资情况</w:t>
      </w:r>
    </w:p>
    <w:p w14:paraId="2AB5753B">
      <w:pPr>
        <w:tabs>
          <w:tab w:val="left" w:pos="993"/>
        </w:tabs>
        <w:spacing w:line="5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8.建设单位基本财务管理和内控制度及会计账务的处理情况</w:t>
      </w:r>
    </w:p>
    <w:p w14:paraId="3795BCCD">
      <w:pPr>
        <w:tabs>
          <w:tab w:val="left" w:pos="993"/>
        </w:tabs>
        <w:spacing w:line="5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9.主要技术经济指标的分析、计算情况以及工程遗留问题</w:t>
      </w:r>
    </w:p>
    <w:p w14:paraId="5C35995B">
      <w:pPr>
        <w:tabs>
          <w:tab w:val="left" w:pos="993"/>
        </w:tabs>
        <w:spacing w:line="5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10.项目管理经验、主要问题和建议</w:t>
      </w:r>
    </w:p>
    <w:p w14:paraId="751696B8">
      <w:pPr>
        <w:tabs>
          <w:tab w:val="left" w:pos="993"/>
        </w:tabs>
        <w:spacing w:line="50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11.需说明的其他事项</w:t>
      </w:r>
    </w:p>
    <w:p w14:paraId="51D25067">
      <w:pPr>
        <w:spacing w:line="560" w:lineRule="exact"/>
        <w:ind w:firstLine="640" w:firstLineChars="200"/>
        <w:outlineLvl w:val="0"/>
        <w:rPr>
          <w:rFonts w:ascii="黑体" w:hAnsi="黑体" w:eastAsia="黑体"/>
          <w:sz w:val="32"/>
          <w:szCs w:val="32"/>
        </w:rPr>
      </w:pPr>
      <w:r>
        <w:rPr>
          <w:rFonts w:hint="eastAsia" w:ascii="黑体" w:hAnsi="黑体" w:eastAsia="黑体"/>
          <w:sz w:val="32"/>
          <w:szCs w:val="32"/>
        </w:rPr>
        <w:t>四、资质要求</w:t>
      </w:r>
    </w:p>
    <w:p w14:paraId="2049C1D8">
      <w:pPr>
        <w:spacing w:line="50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1.具有独立承担民事责任的能力，在中华人民共和国境内注册的法人或其他组织或自然人。分支机构投标的，须提供总公司和分公司营业执照副本复印件，总公司出具给分支机构的授权书。（提供营业执照或事业单位法人证等法人证明扫描件，原件备查）；</w:t>
      </w:r>
    </w:p>
    <w:p w14:paraId="7002849E">
      <w:pPr>
        <w:spacing w:line="50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2.本项目不接受联合体报价，不允许分包、转包。</w:t>
      </w:r>
    </w:p>
    <w:p w14:paraId="221C0546">
      <w:pPr>
        <w:spacing w:line="560" w:lineRule="exact"/>
        <w:ind w:firstLine="640" w:firstLineChars="200"/>
        <w:outlineLvl w:val="0"/>
        <w:rPr>
          <w:rFonts w:ascii="黑体" w:hAnsi="黑体" w:eastAsia="黑体"/>
          <w:sz w:val="32"/>
          <w:szCs w:val="32"/>
        </w:rPr>
      </w:pPr>
      <w:r>
        <w:rPr>
          <w:rFonts w:hint="eastAsia" w:ascii="黑体" w:hAnsi="黑体" w:eastAsia="黑体"/>
          <w:sz w:val="32"/>
          <w:szCs w:val="32"/>
        </w:rPr>
        <w:t>五、商务要求</w:t>
      </w:r>
    </w:p>
    <w:p w14:paraId="3C1EFC6F">
      <w:pPr>
        <w:spacing w:line="500" w:lineRule="exact"/>
        <w:ind w:firstLine="562" w:firstLineChars="200"/>
        <w:rPr>
          <w:rFonts w:ascii="仿宋_GB2312" w:hAnsi="仿宋" w:eastAsia="仿宋_GB2312"/>
          <w:bCs/>
          <w:sz w:val="28"/>
          <w:szCs w:val="28"/>
        </w:rPr>
      </w:pPr>
      <w:r>
        <w:rPr>
          <w:rFonts w:hint="eastAsia" w:ascii="仿宋_GB2312" w:hAnsi="黑体" w:eastAsia="仿宋_GB2312"/>
          <w:b/>
          <w:sz w:val="28"/>
          <w:szCs w:val="28"/>
        </w:rPr>
        <w:t>1.报价要求：</w:t>
      </w:r>
      <w:r>
        <w:rPr>
          <w:rFonts w:hint="eastAsia" w:ascii="仿宋_GB2312" w:hAnsi="仿宋" w:eastAsia="仿宋_GB2312"/>
          <w:bCs/>
          <w:sz w:val="28"/>
          <w:szCs w:val="28"/>
        </w:rPr>
        <w:t>本项目采用包干制，项目结算和决算审核报价作为报价单位与采购人签订的合同金额。</w:t>
      </w:r>
    </w:p>
    <w:p w14:paraId="420534F5">
      <w:pPr>
        <w:spacing w:line="500" w:lineRule="exact"/>
        <w:ind w:firstLine="562" w:firstLineChars="200"/>
        <w:rPr>
          <w:rFonts w:ascii="仿宋_GB2312" w:hAnsi="黑体" w:eastAsia="仿宋_GB2312"/>
          <w:b/>
          <w:sz w:val="28"/>
          <w:szCs w:val="28"/>
        </w:rPr>
      </w:pPr>
      <w:r>
        <w:rPr>
          <w:rFonts w:hint="eastAsia" w:ascii="仿宋_GB2312" w:hAnsi="黑体" w:eastAsia="仿宋_GB2312"/>
          <w:b/>
          <w:sz w:val="28"/>
          <w:szCs w:val="28"/>
        </w:rPr>
        <w:t>2.服务期限：</w:t>
      </w:r>
    </w:p>
    <w:p w14:paraId="27E9F955">
      <w:pPr>
        <w:spacing w:line="50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w:t>
      </w:r>
      <w:r>
        <w:rPr>
          <w:rFonts w:ascii="仿宋_GB2312" w:hAnsi="仿宋" w:eastAsia="仿宋_GB2312"/>
          <w:bCs/>
          <w:sz w:val="28"/>
          <w:szCs w:val="28"/>
        </w:rPr>
        <w:t>1</w:t>
      </w:r>
      <w:r>
        <w:rPr>
          <w:rFonts w:hint="eastAsia" w:ascii="仿宋_GB2312" w:hAnsi="仿宋" w:eastAsia="仿宋_GB2312"/>
          <w:bCs/>
          <w:sz w:val="28"/>
          <w:szCs w:val="28"/>
        </w:rPr>
        <w:t>）项目终验且提交项目全部结算材料后20个工作日内完成《深圳市中医肛肠医院（福田）新址医疗配套设备及信息化建设项目（医疗配套设备购置及开办费部分）》结算审核。</w:t>
      </w:r>
    </w:p>
    <w:p w14:paraId="40240424">
      <w:pPr>
        <w:spacing w:line="50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w:t>
      </w:r>
      <w:r>
        <w:rPr>
          <w:rFonts w:ascii="仿宋_GB2312" w:hAnsi="仿宋" w:eastAsia="仿宋_GB2312"/>
          <w:bCs/>
          <w:sz w:val="28"/>
          <w:szCs w:val="28"/>
        </w:rPr>
        <w:t>2</w:t>
      </w:r>
      <w:r>
        <w:rPr>
          <w:rFonts w:hint="eastAsia" w:ascii="仿宋_GB2312" w:hAnsi="仿宋" w:eastAsia="仿宋_GB2312"/>
          <w:bCs/>
          <w:sz w:val="28"/>
          <w:szCs w:val="28"/>
        </w:rPr>
        <w:t>）项目结算审核报告下达后且项目全部决算资料收齐后10个工作日内完成《深圳市中医肛肠医院（福田）新址医疗配套设备及信息化建设项目（医疗配套设备购置及开办费部分）》决算审核。</w:t>
      </w:r>
    </w:p>
    <w:p w14:paraId="4641A295">
      <w:pPr>
        <w:spacing w:line="500" w:lineRule="exact"/>
        <w:ind w:firstLine="562" w:firstLineChars="200"/>
        <w:rPr>
          <w:rFonts w:ascii="仿宋_GB2312" w:hAnsi="仿宋" w:eastAsia="仿宋_GB2312"/>
          <w:b/>
          <w:bCs/>
          <w:sz w:val="28"/>
          <w:szCs w:val="28"/>
        </w:rPr>
      </w:pPr>
      <w:r>
        <w:rPr>
          <w:rFonts w:ascii="仿宋_GB2312" w:hAnsi="仿宋" w:eastAsia="仿宋_GB2312"/>
          <w:b/>
          <w:bCs/>
          <w:sz w:val="28"/>
          <w:szCs w:val="28"/>
        </w:rPr>
        <w:t>3</w:t>
      </w:r>
      <w:r>
        <w:rPr>
          <w:rFonts w:hint="eastAsia" w:ascii="仿宋_GB2312" w:hAnsi="仿宋" w:eastAsia="仿宋_GB2312"/>
          <w:b/>
          <w:bCs/>
          <w:sz w:val="28"/>
          <w:szCs w:val="28"/>
        </w:rPr>
        <w:t>.付款方式:</w:t>
      </w:r>
    </w:p>
    <w:p w14:paraId="12913F74">
      <w:pPr>
        <w:spacing w:line="50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（1）签订合同后10个工作日内，支付合同金额的5</w:t>
      </w:r>
      <w:r>
        <w:rPr>
          <w:rFonts w:ascii="仿宋_GB2312" w:hAnsi="仿宋" w:eastAsia="仿宋_GB2312"/>
          <w:bCs/>
          <w:sz w:val="28"/>
          <w:szCs w:val="28"/>
        </w:rPr>
        <w:t>0</w:t>
      </w:r>
      <w:r>
        <w:rPr>
          <w:rFonts w:hint="eastAsia" w:ascii="仿宋_GB2312" w:hAnsi="仿宋" w:eastAsia="仿宋_GB2312"/>
          <w:bCs/>
          <w:sz w:val="28"/>
          <w:szCs w:val="28"/>
        </w:rPr>
        <w:t>%首付款；</w:t>
      </w:r>
    </w:p>
    <w:p w14:paraId="0B93A475">
      <w:pPr>
        <w:spacing w:line="500" w:lineRule="exact"/>
        <w:ind w:firstLine="560" w:firstLineChars="200"/>
        <w:rPr>
          <w:rFonts w:ascii="仿宋_GB2312" w:hAnsi="仿宋" w:eastAsia="仿宋_GB2312"/>
          <w:bCs/>
          <w:sz w:val="28"/>
          <w:szCs w:val="28"/>
        </w:rPr>
      </w:pPr>
      <w:r>
        <w:rPr>
          <w:rFonts w:hint="eastAsia" w:ascii="仿宋_GB2312" w:hAnsi="仿宋" w:eastAsia="仿宋_GB2312"/>
          <w:bCs/>
          <w:sz w:val="28"/>
          <w:szCs w:val="28"/>
        </w:rPr>
        <w:t>（2）项目结算和决算审核验收</w:t>
      </w:r>
      <w:r>
        <w:rPr>
          <w:rFonts w:ascii="仿宋_GB2312" w:hAnsi="仿宋" w:eastAsia="仿宋_GB2312"/>
          <w:bCs/>
          <w:sz w:val="28"/>
          <w:szCs w:val="28"/>
        </w:rPr>
        <w:t>后</w:t>
      </w:r>
      <w:r>
        <w:rPr>
          <w:rFonts w:hint="eastAsia" w:ascii="仿宋_GB2312" w:hAnsi="仿宋" w:eastAsia="仿宋_GB2312"/>
          <w:bCs/>
          <w:sz w:val="28"/>
          <w:szCs w:val="28"/>
        </w:rPr>
        <w:t>10个工作日内，支付合同</w:t>
      </w:r>
      <w:r>
        <w:rPr>
          <w:rFonts w:ascii="仿宋_GB2312" w:hAnsi="仿宋" w:eastAsia="仿宋_GB2312"/>
          <w:bCs/>
          <w:sz w:val="28"/>
          <w:szCs w:val="28"/>
        </w:rPr>
        <w:t>金额</w:t>
      </w:r>
      <w:r>
        <w:rPr>
          <w:rFonts w:hint="eastAsia" w:ascii="仿宋_GB2312" w:hAnsi="仿宋" w:eastAsia="仿宋_GB2312"/>
          <w:bCs/>
          <w:sz w:val="28"/>
          <w:szCs w:val="28"/>
        </w:rPr>
        <w:t>的5</w:t>
      </w:r>
      <w:r>
        <w:rPr>
          <w:rFonts w:ascii="仿宋_GB2312" w:hAnsi="仿宋" w:eastAsia="仿宋_GB2312"/>
          <w:bCs/>
          <w:sz w:val="28"/>
          <w:szCs w:val="28"/>
        </w:rPr>
        <w:t>0</w:t>
      </w:r>
      <w:r>
        <w:rPr>
          <w:rFonts w:hint="eastAsia" w:ascii="仿宋_GB2312" w:hAnsi="仿宋" w:eastAsia="仿宋_GB2312"/>
          <w:bCs/>
          <w:sz w:val="28"/>
          <w:szCs w:val="28"/>
        </w:rPr>
        <w:t>%验收款。</w:t>
      </w:r>
    </w:p>
    <w:p w14:paraId="38C28D48">
      <w:pPr>
        <w:spacing w:line="500" w:lineRule="exact"/>
        <w:ind w:firstLine="562" w:firstLineChars="200"/>
        <w:rPr>
          <w:rFonts w:ascii="仿宋_GB2312" w:hAnsi="仿宋" w:eastAsia="仿宋_GB2312"/>
          <w:bCs/>
          <w:sz w:val="28"/>
          <w:szCs w:val="28"/>
        </w:rPr>
      </w:pPr>
      <w:r>
        <w:rPr>
          <w:rFonts w:ascii="仿宋_GB2312" w:hAnsi="仿宋" w:eastAsia="仿宋_GB2312"/>
          <w:b/>
          <w:bCs/>
          <w:sz w:val="28"/>
          <w:szCs w:val="28"/>
        </w:rPr>
        <w:t>4</w:t>
      </w:r>
      <w:r>
        <w:rPr>
          <w:rFonts w:hint="eastAsia" w:ascii="仿宋_GB2312" w:hAnsi="仿宋" w:eastAsia="仿宋_GB2312"/>
          <w:b/>
          <w:bCs/>
          <w:sz w:val="28"/>
          <w:szCs w:val="28"/>
        </w:rPr>
        <w:t>.验收要求:</w:t>
      </w:r>
    </w:p>
    <w:p w14:paraId="5565BBF0">
      <w:pPr>
        <w:spacing w:line="500" w:lineRule="exact"/>
        <w:ind w:firstLine="560" w:firstLineChars="200"/>
        <w:rPr>
          <w:rFonts w:ascii="仿宋" w:hAnsi="仿宋" w:eastAsia="仿宋"/>
          <w:b/>
          <w:bCs/>
          <w:sz w:val="28"/>
          <w:szCs w:val="28"/>
        </w:rPr>
      </w:pPr>
      <w:r>
        <w:rPr>
          <w:rFonts w:hint="eastAsia" w:ascii="仿宋_GB2312" w:hAnsi="仿宋" w:eastAsia="仿宋_GB2312"/>
          <w:bCs/>
          <w:sz w:val="28"/>
          <w:szCs w:val="28"/>
        </w:rPr>
        <w:t>提交深圳市中医肛肠医院（福田）新址医疗配套设备及信息化建设项目（医疗配套设备购置及开办费部分）结算和决算审核报告，且建设项目决算审计后即为验收通过。</w:t>
      </w:r>
      <w:bookmarkStart w:id="3" w:name="_GoBack"/>
      <w:bookmarkEnd w:id="3"/>
    </w:p>
    <w:sectPr>
      <w:footerReference r:id="rId3" w:type="default"/>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1E9BC">
    <w:pPr>
      <w:pStyle w:val="4"/>
    </w:pPr>
    <w:r>
      <w:pict>
        <v:shape id="_x0000_s2049" o:spid="_x0000_s2049" o:spt="202" type="#_x0000_t202" style="position:absolute;left:0pt;margin-top:0pt;height:11pt;width:4.6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">
          <v:path/>
          <v:fill on="f" focussize="0,0"/>
          <v:stroke on="f" joinstyle="miter"/>
          <v:imagedata o:title=""/>
          <o:lock v:ext="edit"/>
          <v:textbox inset="0mm,0mm,0mm,0mm" style="mso-fit-shape-to-text:t;">
            <w:txbxContent>
              <w:p w14:paraId="66038594">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C298D"/>
    <w:rsid w:val="00001C94"/>
    <w:rsid w:val="00005969"/>
    <w:rsid w:val="0003199C"/>
    <w:rsid w:val="000567D2"/>
    <w:rsid w:val="00063F9C"/>
    <w:rsid w:val="00095524"/>
    <w:rsid w:val="000D0B7B"/>
    <w:rsid w:val="000F0FC6"/>
    <w:rsid w:val="00125DC4"/>
    <w:rsid w:val="00131AA3"/>
    <w:rsid w:val="00152D41"/>
    <w:rsid w:val="0016543B"/>
    <w:rsid w:val="00171BE8"/>
    <w:rsid w:val="00177E7B"/>
    <w:rsid w:val="001C78DB"/>
    <w:rsid w:val="001D55AB"/>
    <w:rsid w:val="002026F5"/>
    <w:rsid w:val="00266596"/>
    <w:rsid w:val="00284834"/>
    <w:rsid w:val="002F27A7"/>
    <w:rsid w:val="002F294C"/>
    <w:rsid w:val="00301EBA"/>
    <w:rsid w:val="00320D56"/>
    <w:rsid w:val="00365B48"/>
    <w:rsid w:val="00390709"/>
    <w:rsid w:val="00396F11"/>
    <w:rsid w:val="003C7F48"/>
    <w:rsid w:val="003D6093"/>
    <w:rsid w:val="0042217E"/>
    <w:rsid w:val="00433614"/>
    <w:rsid w:val="00456242"/>
    <w:rsid w:val="004671F6"/>
    <w:rsid w:val="004B2301"/>
    <w:rsid w:val="004B6C42"/>
    <w:rsid w:val="00522765"/>
    <w:rsid w:val="0053485E"/>
    <w:rsid w:val="0054698C"/>
    <w:rsid w:val="0057269C"/>
    <w:rsid w:val="00572C88"/>
    <w:rsid w:val="00573D78"/>
    <w:rsid w:val="005C084D"/>
    <w:rsid w:val="00622B32"/>
    <w:rsid w:val="0062371D"/>
    <w:rsid w:val="00677DB8"/>
    <w:rsid w:val="006C52C4"/>
    <w:rsid w:val="006D0E02"/>
    <w:rsid w:val="00746507"/>
    <w:rsid w:val="007829C2"/>
    <w:rsid w:val="007B4BB2"/>
    <w:rsid w:val="007D18D5"/>
    <w:rsid w:val="007D50B6"/>
    <w:rsid w:val="007F22D4"/>
    <w:rsid w:val="008040E7"/>
    <w:rsid w:val="00815AD5"/>
    <w:rsid w:val="00821BA3"/>
    <w:rsid w:val="0085486F"/>
    <w:rsid w:val="008B0DFC"/>
    <w:rsid w:val="008C26BD"/>
    <w:rsid w:val="008C4743"/>
    <w:rsid w:val="008C519C"/>
    <w:rsid w:val="008D446A"/>
    <w:rsid w:val="009342CA"/>
    <w:rsid w:val="00977493"/>
    <w:rsid w:val="009B57A9"/>
    <w:rsid w:val="009D1887"/>
    <w:rsid w:val="009F7E2C"/>
    <w:rsid w:val="00A27CBA"/>
    <w:rsid w:val="00A4111A"/>
    <w:rsid w:val="00A63251"/>
    <w:rsid w:val="00A7670D"/>
    <w:rsid w:val="00A77539"/>
    <w:rsid w:val="00AE5C11"/>
    <w:rsid w:val="00AF5EF9"/>
    <w:rsid w:val="00AF6E22"/>
    <w:rsid w:val="00AF6F87"/>
    <w:rsid w:val="00B61A41"/>
    <w:rsid w:val="00B66CB0"/>
    <w:rsid w:val="00B76757"/>
    <w:rsid w:val="00B81493"/>
    <w:rsid w:val="00BB5852"/>
    <w:rsid w:val="00C1025C"/>
    <w:rsid w:val="00C201B2"/>
    <w:rsid w:val="00C52C41"/>
    <w:rsid w:val="00C735EE"/>
    <w:rsid w:val="00C92589"/>
    <w:rsid w:val="00CA419A"/>
    <w:rsid w:val="00CA6A16"/>
    <w:rsid w:val="00CF7E7C"/>
    <w:rsid w:val="00DA32D0"/>
    <w:rsid w:val="00DD5B65"/>
    <w:rsid w:val="00DD6042"/>
    <w:rsid w:val="00DF52F2"/>
    <w:rsid w:val="00E078FA"/>
    <w:rsid w:val="00E26083"/>
    <w:rsid w:val="00E429B0"/>
    <w:rsid w:val="00E53452"/>
    <w:rsid w:val="00E650ED"/>
    <w:rsid w:val="00E74991"/>
    <w:rsid w:val="00F244CB"/>
    <w:rsid w:val="00FA5C4B"/>
    <w:rsid w:val="00FC298D"/>
    <w:rsid w:val="00FF620C"/>
    <w:rsid w:val="02581525"/>
    <w:rsid w:val="0E342E47"/>
    <w:rsid w:val="1C6F7740"/>
    <w:rsid w:val="31616ED1"/>
    <w:rsid w:val="42C6780A"/>
    <w:rsid w:val="78B0681C"/>
    <w:rsid w:val="7DAA32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toc 3"/>
    <w:basedOn w:val="1"/>
    <w:next w:val="1"/>
    <w:uiPriority w:val="39"/>
    <w:pPr>
      <w:widowControl w:val="0"/>
      <w:tabs>
        <w:tab w:val="left" w:pos="900"/>
        <w:tab w:val="left" w:pos="1080"/>
      </w:tabs>
      <w:ind w:left="210" w:leftChars="100"/>
    </w:pPr>
    <w:rPr>
      <w:rFonts w:cs="Times New Roman"/>
      <w:iCs/>
      <w:kern w:val="2"/>
    </w:rPr>
  </w:style>
  <w:style w:type="paragraph" w:styleId="3">
    <w:name w:val="Balloon Text"/>
    <w:basedOn w:val="1"/>
    <w:link w:val="10"/>
    <w:semiHidden/>
    <w:unhideWhenUsed/>
    <w:uiPriority w:val="99"/>
    <w:rPr>
      <w:sz w:val="18"/>
      <w:szCs w:val="18"/>
    </w:rPr>
  </w:style>
  <w:style w:type="paragraph" w:styleId="4">
    <w:name w:val="footer"/>
    <w:basedOn w:val="1"/>
    <w:link w:val="9"/>
    <w:unhideWhenUsed/>
    <w:qFormat/>
    <w:uiPriority w:val="0"/>
    <w:pPr>
      <w:widowControl w:val="0"/>
      <w:tabs>
        <w:tab w:val="center" w:pos="4153"/>
        <w:tab w:val="right" w:pos="8306"/>
      </w:tabs>
      <w:snapToGrid w:val="0"/>
    </w:pPr>
    <w:rPr>
      <w:rFonts w:ascii="Calibri" w:hAnsi="Calibri" w:cs="Times New Roman"/>
      <w:kern w:val="2"/>
      <w:sz w:val="18"/>
      <w:szCs w:val="18"/>
    </w:rPr>
  </w:style>
  <w:style w:type="paragraph" w:styleId="5">
    <w:name w:val="header"/>
    <w:basedOn w:val="1"/>
    <w:link w:val="8"/>
    <w:unhideWhenUsed/>
    <w:uiPriority w:val="99"/>
    <w:pPr>
      <w:widowControl w:val="0"/>
      <w:pBdr>
        <w:bottom w:val="single" w:color="auto" w:sz="6" w:space="1"/>
      </w:pBdr>
      <w:tabs>
        <w:tab w:val="center" w:pos="4153"/>
        <w:tab w:val="right" w:pos="8306"/>
      </w:tabs>
      <w:snapToGrid w:val="0"/>
      <w:jc w:val="center"/>
    </w:pPr>
    <w:rPr>
      <w:rFonts w:ascii="Calibri" w:hAnsi="Calibri" w:cs="Times New Roman"/>
      <w:kern w:val="2"/>
      <w:sz w:val="18"/>
      <w:szCs w:val="18"/>
    </w:rPr>
  </w:style>
  <w:style w:type="character" w:customStyle="1" w:styleId="8">
    <w:name w:val="页眉 字符"/>
    <w:basedOn w:val="7"/>
    <w:link w:val="5"/>
    <w:uiPriority w:val="99"/>
    <w:rPr>
      <w:sz w:val="18"/>
      <w:szCs w:val="18"/>
    </w:rPr>
  </w:style>
  <w:style w:type="character" w:customStyle="1" w:styleId="9">
    <w:name w:val="页脚 字符"/>
    <w:basedOn w:val="7"/>
    <w:link w:val="4"/>
    <w:uiPriority w:val="0"/>
    <w:rPr>
      <w:sz w:val="18"/>
      <w:szCs w:val="18"/>
    </w:rPr>
  </w:style>
  <w:style w:type="character" w:customStyle="1" w:styleId="10">
    <w:name w:val="批注框文本 字符"/>
    <w:basedOn w:val="7"/>
    <w:link w:val="3"/>
    <w:semiHidden/>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2357</Words>
  <Characters>2397</Characters>
  <Lines>17</Lines>
  <Paragraphs>4</Paragraphs>
  <TotalTime>185</TotalTime>
  <ScaleCrop>false</ScaleCrop>
  <LinksUpToDate>false</LinksUpToDate>
  <CharactersWithSpaces>2402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2025-04-18T07:25:00Z</dcterms:created>
  <dc:creator>Administrator</dc:creator>
  <cp:lastModifiedBy>scott</cp:lastModifiedBy>
  <dcterms:modified xsi:type="dcterms:W3CDTF">2025-05-29T02:31:54Z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eyJoZGlkIjoiNTlhMGE2NzcxZTA5MmEzOWU1NmYwYWRjMDE0ZDEwMTkiLCJ1c2VySWQiOiIyNDg0MjA5MjAifQ==</vt:lpwstr>
  </property>
  <property fmtid="{D5CDD505-2E9C-101B-9397-08002B2CF9AE}" pid="3" name="KSOProductBuildVer">
    <vt:lpwstr>2052-12.1.0.21171</vt:lpwstr>
  </property>
  <property fmtid="{D5CDD505-2E9C-101B-9397-08002B2CF9AE}" pid="4" name="ICV">
    <vt:lpwstr>A7F32186F6A249809712C7761F9C9CCA_12</vt:lpwstr>
  </property>
</Properties>
</file>