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189C2">
      <w:pPr>
        <w:pStyle w:val="7"/>
        <w:keepNext w:val="0"/>
        <w:keepLines w:val="0"/>
        <w:widowControl/>
        <w:suppressLineNumbers w:val="0"/>
        <w:spacing w:before="0" w:beforeAutospacing="0" w:after="0" w:afterAutospacing="0"/>
        <w:ind w:left="0" w:right="0" w:firstLine="0"/>
        <w:jc w:val="center"/>
        <w:rPr>
          <w:rFonts w:hint="eastAsia" w:ascii="黑体" w:hAnsi="黑体" w:eastAsia="黑体" w:cs="黑体"/>
          <w:kern w:val="2"/>
          <w:sz w:val="36"/>
          <w:szCs w:val="36"/>
          <w:lang w:val="en-US" w:eastAsia="zh-CN" w:bidi="ar-SA"/>
        </w:rPr>
      </w:pPr>
      <w:bookmarkStart w:id="0" w:name="_Toc196470790"/>
      <w:r>
        <w:rPr>
          <w:rFonts w:hint="eastAsia" w:ascii="黑体" w:hAnsi="黑体" w:eastAsia="黑体" w:cs="黑体"/>
          <w:kern w:val="2"/>
          <w:sz w:val="36"/>
          <w:szCs w:val="36"/>
          <w:lang w:val="en-US" w:eastAsia="zh-CN" w:bidi="ar-SA"/>
        </w:rPr>
        <w:t>深圳市中医肛肠医院（福田）</w:t>
      </w:r>
    </w:p>
    <w:p w14:paraId="1F92B5EE">
      <w:pPr>
        <w:pStyle w:val="7"/>
        <w:keepNext w:val="0"/>
        <w:keepLines w:val="0"/>
        <w:widowControl/>
        <w:suppressLineNumbers w:val="0"/>
        <w:spacing w:before="0" w:beforeAutospacing="0" w:after="0" w:afterAutospacing="0"/>
        <w:ind w:left="0" w:right="0" w:firstLine="0"/>
        <w:jc w:val="center"/>
        <w:rPr>
          <w:rFonts w:hint="eastAsia"/>
          <w:lang w:val="en-US" w:eastAsia="zh-CN"/>
        </w:rPr>
      </w:pPr>
      <w:r>
        <w:rPr>
          <w:rFonts w:hint="eastAsia" w:ascii="黑体" w:hAnsi="黑体" w:eastAsia="黑体" w:cs="黑体"/>
          <w:kern w:val="2"/>
          <w:sz w:val="36"/>
          <w:szCs w:val="36"/>
          <w:lang w:val="en-US" w:eastAsia="zh-CN" w:bidi="ar-SA"/>
        </w:rPr>
        <w:t>内部控制建设优化项目需求书</w:t>
      </w:r>
    </w:p>
    <w:p w14:paraId="3694B1B9">
      <w:pPr>
        <w:pStyle w:val="2"/>
        <w:numPr>
          <w:ilvl w:val="0"/>
          <w:numId w:val="0"/>
        </w:numPr>
        <w:spacing w:line="415" w:lineRule="auto"/>
        <w:ind w:leftChars="0"/>
        <w:rPr>
          <w:rFonts w:hint="eastAsia" w:ascii="Arial" w:hAnsi="Arial"/>
        </w:rPr>
      </w:pPr>
      <w:r>
        <w:rPr>
          <w:rFonts w:hint="eastAsia" w:ascii="Arial" w:hAnsi="Arial"/>
          <w:lang w:val="en-US" w:eastAsia="zh-CN"/>
        </w:rPr>
        <w:t>一、</w:t>
      </w:r>
      <w:r>
        <w:rPr>
          <w:rFonts w:hint="eastAsia" w:ascii="Arial" w:hAnsi="Arial"/>
        </w:rPr>
        <w:t>项目背景</w:t>
      </w:r>
      <w:bookmarkEnd w:id="0"/>
    </w:p>
    <w:p w14:paraId="082AF17C">
      <w:pPr>
        <w:snapToGrid w:val="0"/>
        <w:spacing w:line="400" w:lineRule="exact"/>
        <w:ind w:firstLine="420" w:firstLineChars="200"/>
        <w:rPr>
          <w:rFonts w:ascii="宋体" w:hAnsi="宋体" w:cs="宋体"/>
          <w:kern w:val="0"/>
          <w:szCs w:val="21"/>
        </w:rPr>
      </w:pPr>
      <w:r>
        <w:rPr>
          <w:rFonts w:hint="eastAsia" w:ascii="宋体" w:hAnsi="宋体" w:cs="宋体"/>
          <w:kern w:val="0"/>
          <w:szCs w:val="21"/>
        </w:rPr>
        <w:t>为进一步强化公立医院科学管理，实施好内控规范，促进公立医院高质高效运营，近几年中共中央、国务院、财政部、卫健委、中医药局陆续出台一系列管理制度，包括《关于进一步加强财会监督工作的意见》（中办发〔2023〕4号）、《行政事业单位内部控制规范（试行）》（财会〔2012〕21号）、《关于加强公立医院运营管理的指导意见》（国卫财务发〔2020〕27号）、《公立医院内部控制管理办法》（国卫财务发〔2020〕31号）及《关于进一步加强公立医院内部控制建设的指导意见》（财会〔2023〕31号）等文件。特别是后者，明确要求公立医院到2025年底，建立健全权责清晰、制衡有力、运行有效、监督到位的内部控制体系。由此可见，在当前形势下，建立健全公立医院内部控制体系迫在眉睫，我们将以监管合规为契机，构建以流程为对象、以制度为平台、以表单为手段、以信息化为支撑、以监督考核为保障的内部控制管理体系。</w:t>
      </w:r>
    </w:p>
    <w:p w14:paraId="0380AA0E">
      <w:pPr>
        <w:pStyle w:val="2"/>
        <w:numPr>
          <w:ilvl w:val="0"/>
          <w:numId w:val="0"/>
        </w:numPr>
        <w:spacing w:line="415" w:lineRule="auto"/>
        <w:ind w:left="420" w:leftChars="0" w:hanging="420" w:firstLineChars="0"/>
      </w:pPr>
      <w:bookmarkStart w:id="1" w:name="_Toc196470792"/>
      <w:bookmarkStart w:id="2" w:name="_Toc184089359"/>
      <w:r>
        <w:rPr>
          <w:rFonts w:hint="eastAsia" w:cs="Times New Roman"/>
          <w:b/>
          <w:bCs/>
          <w:kern w:val="0"/>
          <w:sz w:val="32"/>
          <w:szCs w:val="32"/>
          <w:lang w:val="en-US" w:eastAsia="zh-CN" w:bidi="ar-SA"/>
        </w:rPr>
        <w:t>二</w:t>
      </w:r>
      <w:r>
        <w:rPr>
          <w:rFonts w:ascii="Arial" w:hAnsi="Arial" w:eastAsia="黑体" w:cs="Times New Roman"/>
          <w:b/>
          <w:bCs/>
          <w:kern w:val="0"/>
          <w:sz w:val="32"/>
          <w:szCs w:val="32"/>
          <w:lang w:val="en-US" w:eastAsia="zh-CN" w:bidi="ar-SA"/>
        </w:rPr>
        <w:t>、</w:t>
      </w:r>
      <w:r>
        <w:rPr>
          <w:rFonts w:hint="eastAsia"/>
        </w:rPr>
        <w:t>投标报价</w:t>
      </w:r>
      <w:bookmarkEnd w:id="1"/>
    </w:p>
    <w:p w14:paraId="347B8E45">
      <w:pPr>
        <w:tabs>
          <w:tab w:val="left" w:pos="-636"/>
          <w:tab w:val="left" w:pos="2121"/>
        </w:tabs>
        <w:spacing w:after="62" w:afterLines="20" w:line="400" w:lineRule="exact"/>
        <w:ind w:firstLine="420" w:firstLineChars="200"/>
      </w:pPr>
      <w:bookmarkStart w:id="3" w:name="付款方法和条件"/>
      <w:bookmarkEnd w:id="3"/>
      <w:r>
        <w:rPr>
          <w:rFonts w:hint="eastAsia"/>
        </w:rPr>
        <w:t>1、</w:t>
      </w:r>
      <w:r>
        <w:t>本项目服务费采用包干制，</w:t>
      </w:r>
      <w:r>
        <w:rPr>
          <w:rFonts w:hint="eastAsia" w:ascii="宋体" w:hAnsi="宋体" w:cs="宋体"/>
          <w:szCs w:val="21"/>
        </w:rPr>
        <w:t>报价包含但不限于：人工劳务、设备投入、报告及成果编制、交通、通讯、材料、资料、保险、税费、利润、采购代理服务费等一切完成本项目的费用</w:t>
      </w:r>
      <w:r>
        <w:t>；一经中标，投标报价总价作为中标单位与采购单位</w:t>
      </w:r>
      <w:r>
        <w:rPr>
          <w:rFonts w:hint="eastAsia"/>
        </w:rPr>
        <w:t>签订</w:t>
      </w:r>
      <w:r>
        <w:t>的合同金额，合同期限内不做调整。</w:t>
      </w:r>
    </w:p>
    <w:p w14:paraId="71F64DB3">
      <w:pPr>
        <w:tabs>
          <w:tab w:val="left" w:pos="-636"/>
          <w:tab w:val="left" w:pos="2121"/>
        </w:tabs>
        <w:spacing w:after="62" w:afterLines="20" w:line="400" w:lineRule="exact"/>
        <w:ind w:firstLine="422" w:firstLineChars="200"/>
        <w:rPr>
          <w:rFonts w:ascii="宋体" w:hAnsi="宋体" w:cs="Arial"/>
          <w:szCs w:val="21"/>
        </w:rPr>
      </w:pPr>
      <w:r>
        <w:rPr>
          <w:rFonts w:hint="eastAsia" w:ascii="宋体" w:hAnsi="宋体"/>
          <w:b/>
          <w:szCs w:val="21"/>
        </w:rPr>
        <w:t>2、★</w:t>
      </w:r>
      <w:r>
        <w:rPr>
          <w:rFonts w:hint="eastAsia" w:ascii="宋体" w:hAnsi="宋体"/>
          <w:szCs w:val="21"/>
        </w:rPr>
        <w:t>投标人应根据本企业的成本自行决定报价，但不得以低于其企业成本的报价投标。</w:t>
      </w:r>
      <w:r>
        <w:rPr>
          <w:rFonts w:hint="eastAsia" w:ascii="宋体" w:hAnsi="宋体"/>
          <w:b/>
          <w:szCs w:val="21"/>
        </w:rPr>
        <w:t>根据《政府采购货物和服务招标投标管理办法》(财政部令第87号)第六十条规定，投标人的报价明显低于其他通过符合性审查投标人的报价，有可能影响服务质量或者不能诚信履约的，评标委员会有权要求投标人在评标现场合理的时间内提供书面说明，必要时提交相关证明材料，并根据投标人的说明作相应处理。投标人不能证明其报价合理性的，评标委员会应当将其作为无效投标处理。</w:t>
      </w:r>
    </w:p>
    <w:p w14:paraId="0567FF48">
      <w:pPr>
        <w:tabs>
          <w:tab w:val="left" w:pos="-636"/>
          <w:tab w:val="left" w:pos="2121"/>
        </w:tabs>
        <w:spacing w:after="62" w:afterLines="20" w:line="400" w:lineRule="exact"/>
        <w:ind w:firstLine="420" w:firstLineChars="200"/>
        <w:rPr>
          <w:rFonts w:ascii="宋体" w:hAnsi="宋体"/>
          <w:szCs w:val="21"/>
        </w:rPr>
      </w:pPr>
      <w:r>
        <w:rPr>
          <w:rFonts w:hint="eastAsia" w:ascii="宋体" w:hAnsi="宋体"/>
          <w:szCs w:val="21"/>
        </w:rPr>
        <w:t>3、投标人对每项服务的报价必须是唯一的。招标人不接受有任何选择的报价。</w:t>
      </w:r>
    </w:p>
    <w:p w14:paraId="4EF152FD">
      <w:pPr>
        <w:tabs>
          <w:tab w:val="left" w:pos="-636"/>
          <w:tab w:val="left" w:pos="2121"/>
        </w:tabs>
        <w:spacing w:after="62" w:afterLines="20" w:line="400" w:lineRule="exact"/>
        <w:ind w:firstLine="420" w:firstLineChars="200"/>
        <w:rPr>
          <w:rFonts w:ascii="宋体" w:hAnsi="宋体"/>
          <w:szCs w:val="21"/>
        </w:rPr>
      </w:pPr>
      <w:r>
        <w:rPr>
          <w:rFonts w:hint="eastAsia" w:ascii="宋体" w:hAnsi="宋体"/>
          <w:szCs w:val="21"/>
        </w:rPr>
        <w:t>4、投标人的投标报价，应是本项目招标范围和招标文件及合同条款上所列的各项内容中所述的全部，不得以任何理由予以重复，并以投标人在投标文件中提出的综合单价或总价为依据。</w:t>
      </w:r>
    </w:p>
    <w:p w14:paraId="3672B110">
      <w:pPr>
        <w:tabs>
          <w:tab w:val="left" w:pos="-636"/>
          <w:tab w:val="left" w:pos="2121"/>
        </w:tabs>
        <w:spacing w:after="62" w:afterLines="20" w:line="400" w:lineRule="exact"/>
        <w:ind w:firstLine="420" w:firstLineChars="200"/>
        <w:rPr>
          <w:rFonts w:ascii="宋体" w:hAnsi="宋体"/>
          <w:szCs w:val="21"/>
        </w:rPr>
      </w:pPr>
      <w:r>
        <w:rPr>
          <w:rFonts w:hint="eastAsia"/>
        </w:rPr>
        <w:t>5、</w:t>
      </w:r>
      <w:r>
        <w:t>除非</w:t>
      </w:r>
      <w:r>
        <w:rPr>
          <w:rFonts w:hint="eastAsia"/>
        </w:rPr>
        <w:t>招标代理机构</w:t>
      </w:r>
      <w:r>
        <w:t>通过修改招标文件予以更正，否则，投标人应毫无例外地按招标文件所列的清单中项目和数量填报综合单价和合价。投标人未填综合单价或合价的项目，在实施后，将不得以支付，并视作该项费用已包括在其它有价款的综合单价或合价内</w:t>
      </w:r>
      <w:r>
        <w:rPr>
          <w:rFonts w:hint="eastAsia"/>
        </w:rPr>
        <w:t>。</w:t>
      </w:r>
    </w:p>
    <w:p w14:paraId="26A8558F">
      <w:pPr>
        <w:tabs>
          <w:tab w:val="left" w:pos="-636"/>
          <w:tab w:val="left" w:pos="2121"/>
        </w:tabs>
        <w:spacing w:after="62" w:afterLines="20" w:line="400" w:lineRule="exact"/>
        <w:ind w:firstLine="420" w:firstLineChars="200"/>
      </w:pPr>
      <w:r>
        <w:rPr>
          <w:rFonts w:hint="eastAsia"/>
        </w:rPr>
        <w:t>6、</w:t>
      </w:r>
      <w:r>
        <w:rPr>
          <w:rFonts w:hint="eastAsia" w:ascii="宋体" w:hAnsi="宋体"/>
          <w:szCs w:val="21"/>
        </w:rPr>
        <w:t>投标人</w:t>
      </w:r>
      <w:r>
        <w:rPr>
          <w:rFonts w:hint="eastAsia" w:ascii="宋体" w:hAnsi="宋体" w:cs="宋体"/>
          <w:szCs w:val="21"/>
        </w:rPr>
        <w:t>应根据本项目的实际与自身情况，并充分考虑不确定性因素可能导致的风险。若因</w:t>
      </w:r>
      <w:r>
        <w:rPr>
          <w:rFonts w:hint="eastAsia" w:ascii="宋体" w:hAnsi="宋体"/>
          <w:szCs w:val="21"/>
        </w:rPr>
        <w:t>投标人</w:t>
      </w:r>
      <w:r>
        <w:rPr>
          <w:rFonts w:hint="eastAsia" w:ascii="宋体" w:hAnsi="宋体" w:cs="宋体"/>
          <w:szCs w:val="21"/>
        </w:rPr>
        <w:t>原因造成的漏报、错报而导致本项目无法履行的，由</w:t>
      </w:r>
      <w:r>
        <w:rPr>
          <w:rFonts w:hint="eastAsia" w:ascii="宋体" w:hAnsi="宋体"/>
          <w:szCs w:val="21"/>
        </w:rPr>
        <w:t>投标人</w:t>
      </w:r>
      <w:r>
        <w:rPr>
          <w:rFonts w:hint="eastAsia" w:ascii="宋体" w:hAnsi="宋体" w:cs="宋体"/>
          <w:szCs w:val="21"/>
        </w:rPr>
        <w:t>负责，采购人不承担任何费用，且</w:t>
      </w:r>
      <w:r>
        <w:rPr>
          <w:rFonts w:hint="eastAsia" w:ascii="宋体" w:hAnsi="宋体"/>
          <w:szCs w:val="21"/>
        </w:rPr>
        <w:t>投标人</w:t>
      </w:r>
      <w:r>
        <w:rPr>
          <w:rFonts w:hint="eastAsia" w:ascii="宋体" w:hAnsi="宋体" w:cs="宋体"/>
          <w:szCs w:val="21"/>
        </w:rPr>
        <w:t>应退还采购人支付的服务费用。</w:t>
      </w:r>
    </w:p>
    <w:p w14:paraId="610B57B4">
      <w:pPr>
        <w:tabs>
          <w:tab w:val="left" w:pos="-636"/>
          <w:tab w:val="left" w:pos="2121"/>
        </w:tabs>
        <w:spacing w:after="62" w:afterLines="20" w:line="400" w:lineRule="exact"/>
        <w:ind w:firstLine="420" w:firstLineChars="200"/>
        <w:rPr>
          <w:rFonts w:ascii="宋体" w:hAnsi="宋体"/>
          <w:szCs w:val="21"/>
        </w:rPr>
      </w:pPr>
      <w:r>
        <w:rPr>
          <w:rFonts w:hint="eastAsia"/>
        </w:rPr>
        <w:t>7、</w:t>
      </w:r>
      <w:r>
        <w:t>投标人不得期望通过索赔等方式获取补偿，否则，除可能遭到拒绝外，还可能将被作为不良行为记录在案，并可能影响其以后参加政府采购的项目投标。各投标人在投标报价时，应充分考虑投标报价的风险。</w:t>
      </w:r>
    </w:p>
    <w:p w14:paraId="31D330E4">
      <w:pPr>
        <w:tabs>
          <w:tab w:val="left" w:pos="-636"/>
          <w:tab w:val="left" w:pos="2121"/>
        </w:tabs>
        <w:spacing w:after="62" w:afterLines="20" w:line="400" w:lineRule="exact"/>
        <w:ind w:firstLine="422" w:firstLineChars="200"/>
        <w:rPr>
          <w:rFonts w:hAnsi="宋体"/>
          <w:b/>
          <w:szCs w:val="21"/>
        </w:rPr>
      </w:pPr>
      <w:r>
        <w:rPr>
          <w:rFonts w:hint="eastAsia" w:hAnsi="宋体"/>
          <w:b/>
          <w:kern w:val="0"/>
          <w:szCs w:val="21"/>
        </w:rPr>
        <w:t>8、★本项目</w:t>
      </w:r>
      <w:r>
        <w:rPr>
          <w:rFonts w:ascii="Times New Roman" w:hAnsi="宋体"/>
          <w:b/>
          <w:szCs w:val="21"/>
        </w:rPr>
        <w:t>预算金额</w:t>
      </w:r>
      <w:r>
        <w:rPr>
          <w:rFonts w:hint="eastAsia" w:hAnsi="宋体"/>
          <w:b/>
          <w:kern w:val="0"/>
          <w:szCs w:val="21"/>
        </w:rPr>
        <w:t>为：</w:t>
      </w:r>
      <w:r>
        <w:rPr>
          <w:rFonts w:hint="eastAsia" w:hAnsi="宋体"/>
          <w:b/>
          <w:szCs w:val="21"/>
        </w:rPr>
        <w:t>人民币壹拾万元整（¥1</w:t>
      </w:r>
      <w:r>
        <w:rPr>
          <w:rFonts w:hAnsi="宋体"/>
          <w:b/>
          <w:szCs w:val="21"/>
        </w:rPr>
        <w:t>0.</w:t>
      </w:r>
      <w:r>
        <w:rPr>
          <w:rFonts w:hint="eastAsia" w:hAnsi="宋体"/>
          <w:b/>
          <w:szCs w:val="21"/>
        </w:rPr>
        <w:t>00万元）,</w:t>
      </w:r>
      <w:r>
        <w:rPr>
          <w:rFonts w:hAnsi="宋体"/>
          <w:b/>
          <w:szCs w:val="21"/>
        </w:rPr>
        <w:t>投标报价超出</w:t>
      </w:r>
      <w:r>
        <w:rPr>
          <w:rFonts w:hint="eastAsia" w:hAnsi="宋体"/>
          <w:b/>
          <w:szCs w:val="21"/>
        </w:rPr>
        <w:t>预算金额</w:t>
      </w:r>
      <w:r>
        <w:rPr>
          <w:rFonts w:hAnsi="宋体"/>
          <w:b/>
          <w:szCs w:val="21"/>
        </w:rPr>
        <w:t>的</w:t>
      </w:r>
      <w:r>
        <w:rPr>
          <w:rFonts w:hint="eastAsia" w:hAnsi="宋体"/>
          <w:b/>
          <w:szCs w:val="21"/>
        </w:rPr>
        <w:t>投标人，其投标文件做投标无效处理</w:t>
      </w:r>
      <w:r>
        <w:rPr>
          <w:rFonts w:hAnsi="宋体"/>
          <w:b/>
          <w:szCs w:val="21"/>
        </w:rPr>
        <w:t>。</w:t>
      </w:r>
    </w:p>
    <w:p w14:paraId="6F227618"/>
    <w:p w14:paraId="7893245F">
      <w:pPr>
        <w:pStyle w:val="2"/>
        <w:numPr>
          <w:ilvl w:val="0"/>
          <w:numId w:val="0"/>
        </w:numPr>
        <w:spacing w:before="0" w:after="0" w:line="360" w:lineRule="auto"/>
        <w:ind w:left="420" w:leftChars="0" w:hanging="420" w:firstLineChars="0"/>
      </w:pPr>
      <w:bookmarkStart w:id="4" w:name="_Toc196470793"/>
      <w:bookmarkStart w:id="5" w:name="_Toc129791970"/>
      <w:r>
        <w:rPr>
          <w:rFonts w:hint="eastAsia" w:cs="Times New Roman"/>
          <w:b/>
          <w:bCs/>
          <w:kern w:val="0"/>
          <w:sz w:val="32"/>
          <w:szCs w:val="32"/>
          <w:lang w:val="en-US" w:eastAsia="zh-CN" w:bidi="ar-SA"/>
        </w:rPr>
        <w:t>三</w:t>
      </w:r>
      <w:r>
        <w:rPr>
          <w:rFonts w:ascii="Arial" w:hAnsi="Arial" w:eastAsia="黑体" w:cs="Times New Roman"/>
          <w:b/>
          <w:bCs/>
          <w:kern w:val="0"/>
          <w:sz w:val="32"/>
          <w:szCs w:val="32"/>
          <w:lang w:val="en-US" w:eastAsia="zh-CN" w:bidi="ar-SA"/>
        </w:rPr>
        <w:t>、</w:t>
      </w:r>
      <w:r>
        <w:rPr>
          <w:rFonts w:hint="eastAsia"/>
        </w:rPr>
        <w:t>商务要求</w:t>
      </w:r>
      <w:bookmarkEnd w:id="4"/>
      <w:bookmarkEnd w:id="5"/>
    </w:p>
    <w:bookmarkEnd w:id="2"/>
    <w:p w14:paraId="369956B8">
      <w:pPr>
        <w:pStyle w:val="14"/>
        <w:spacing w:line="400" w:lineRule="exact"/>
        <w:ind w:firstLine="0" w:firstLineChars="0"/>
        <w:rPr>
          <w:rFonts w:ascii="宋体" w:hAnsi="宋体"/>
          <w:b/>
          <w:bCs/>
          <w:szCs w:val="21"/>
        </w:rPr>
      </w:pPr>
      <w:bookmarkStart w:id="6" w:name="_Toc184089366"/>
      <w:r>
        <w:rPr>
          <w:rFonts w:hint="eastAsia" w:ascii="宋体" w:hAnsi="宋体"/>
          <w:b/>
          <w:bCs/>
          <w:szCs w:val="21"/>
        </w:rPr>
        <w:t>1.</w:t>
      </w:r>
      <w:r>
        <w:rPr>
          <w:rFonts w:hint="eastAsia"/>
          <w:szCs w:val="21"/>
        </w:rPr>
        <w:t xml:space="preserve"> </w:t>
      </w:r>
      <w:r>
        <w:rPr>
          <w:rFonts w:hint="eastAsia" w:ascii="宋体" w:hAnsi="宋体"/>
          <w:b/>
          <w:bCs/>
          <w:szCs w:val="21"/>
        </w:rPr>
        <w:t>服务期限：</w:t>
      </w:r>
    </w:p>
    <w:p w14:paraId="65E85C20">
      <w:pPr>
        <w:pStyle w:val="14"/>
        <w:spacing w:line="400" w:lineRule="exact"/>
        <w:rPr>
          <w:rFonts w:ascii="宋体" w:hAnsi="宋体"/>
          <w:szCs w:val="21"/>
        </w:rPr>
      </w:pPr>
      <w:r>
        <w:rPr>
          <w:rFonts w:hint="eastAsia" w:ascii="宋体" w:hAnsi="宋体" w:cs="宋体"/>
          <w:szCs w:val="21"/>
        </w:rPr>
        <w:t>同签订后</w:t>
      </w:r>
      <w:r>
        <w:rPr>
          <w:rFonts w:hint="eastAsia" w:cs="宋体"/>
          <w:szCs w:val="21"/>
        </w:rPr>
        <w:t>三个月</w:t>
      </w:r>
      <w:r>
        <w:rPr>
          <w:rFonts w:hint="eastAsia" w:ascii="宋体" w:hAnsi="宋体" w:cs="宋体"/>
          <w:szCs w:val="21"/>
        </w:rPr>
        <w:t>内完成。</w:t>
      </w:r>
    </w:p>
    <w:p w14:paraId="3A39E8DE">
      <w:pPr>
        <w:pStyle w:val="14"/>
        <w:spacing w:line="400" w:lineRule="exact"/>
        <w:ind w:firstLine="0" w:firstLineChars="0"/>
        <w:rPr>
          <w:rFonts w:ascii="宋体" w:hAnsi="宋体"/>
          <w:b/>
          <w:bCs/>
          <w:szCs w:val="21"/>
        </w:rPr>
      </w:pPr>
      <w:r>
        <w:rPr>
          <w:rFonts w:hint="eastAsia" w:ascii="宋体" w:hAnsi="宋体"/>
          <w:b/>
          <w:bCs/>
          <w:szCs w:val="21"/>
        </w:rPr>
        <w:t>2. 服务地点：</w:t>
      </w:r>
    </w:p>
    <w:p w14:paraId="749CC282">
      <w:pPr>
        <w:pStyle w:val="14"/>
        <w:spacing w:line="400" w:lineRule="exact"/>
        <w:rPr>
          <w:rFonts w:ascii="宋体" w:hAnsi="宋体"/>
          <w:szCs w:val="21"/>
        </w:rPr>
      </w:pPr>
      <w:r>
        <w:rPr>
          <w:rFonts w:hint="eastAsia" w:ascii="宋体" w:hAnsi="宋体" w:cs="宋体"/>
          <w:szCs w:val="21"/>
        </w:rPr>
        <w:t>深圳市中医肛肠医院（福田）。</w:t>
      </w:r>
    </w:p>
    <w:p w14:paraId="0B383612">
      <w:pPr>
        <w:pStyle w:val="14"/>
        <w:spacing w:line="400" w:lineRule="exact"/>
        <w:ind w:firstLine="0" w:firstLineChars="0"/>
        <w:rPr>
          <w:rFonts w:ascii="宋体" w:hAnsi="宋体"/>
          <w:b/>
          <w:bCs/>
          <w:szCs w:val="21"/>
          <w:highlight w:val="none"/>
        </w:rPr>
      </w:pPr>
      <w:r>
        <w:rPr>
          <w:rFonts w:hint="eastAsia" w:ascii="宋体" w:hAnsi="宋体"/>
          <w:b/>
          <w:bCs/>
          <w:szCs w:val="21"/>
          <w:highlight w:val="none"/>
        </w:rPr>
        <w:t>3、付款方式</w:t>
      </w:r>
      <w:bookmarkStart w:id="10" w:name="_GoBack"/>
      <w:bookmarkEnd w:id="10"/>
    </w:p>
    <w:p w14:paraId="5A91CAB5">
      <w:pPr>
        <w:pStyle w:val="14"/>
        <w:spacing w:line="400" w:lineRule="exact"/>
        <w:rPr>
          <w:rFonts w:ascii="宋体" w:hAnsi="宋体"/>
          <w:szCs w:val="21"/>
          <w:highlight w:val="none"/>
        </w:rPr>
      </w:pPr>
      <w:r>
        <w:rPr>
          <w:rFonts w:hint="eastAsia" w:ascii="宋体" w:hAnsi="宋体" w:cs="宋体"/>
          <w:szCs w:val="21"/>
          <w:highlight w:val="none"/>
        </w:rPr>
        <w:t>合同签订后，合同签订后1</w:t>
      </w:r>
      <w:r>
        <w:rPr>
          <w:rFonts w:hint="eastAsia" w:ascii="宋体" w:hAnsi="宋体" w:cs="宋体"/>
          <w:szCs w:val="21"/>
          <w:highlight w:val="none"/>
          <w:lang w:val="en-US" w:eastAsia="zh-CN"/>
        </w:rPr>
        <w:t>0</w:t>
      </w:r>
      <w:r>
        <w:rPr>
          <w:rFonts w:hint="eastAsia" w:ascii="宋体" w:hAnsi="宋体" w:cs="宋体"/>
          <w:szCs w:val="21"/>
          <w:highlight w:val="none"/>
        </w:rPr>
        <w:t>个工作日内预付合同总金额的</w:t>
      </w:r>
      <w:r>
        <w:rPr>
          <w:rFonts w:hint="eastAsia" w:cs="宋体"/>
          <w:szCs w:val="21"/>
          <w:highlight w:val="none"/>
          <w:lang w:val="en-US" w:eastAsia="zh-CN"/>
        </w:rPr>
        <w:t>5</w:t>
      </w:r>
      <w:r>
        <w:rPr>
          <w:rFonts w:hint="eastAsia" w:ascii="宋体" w:hAnsi="宋体" w:cs="宋体"/>
          <w:szCs w:val="21"/>
          <w:highlight w:val="none"/>
        </w:rPr>
        <w:t>0%，项目</w:t>
      </w:r>
      <w:r>
        <w:rPr>
          <w:rFonts w:hint="eastAsia" w:ascii="宋体" w:hAnsi="宋体" w:cs="宋体"/>
          <w:szCs w:val="21"/>
          <w:highlight w:val="none"/>
          <w:lang w:val="en-US" w:eastAsia="zh-CN"/>
        </w:rPr>
        <w:t>阶段性</w:t>
      </w:r>
      <w:r>
        <w:rPr>
          <w:rFonts w:hint="eastAsia" w:ascii="宋体" w:hAnsi="宋体" w:cs="宋体"/>
          <w:szCs w:val="21"/>
          <w:highlight w:val="none"/>
        </w:rPr>
        <w:t>验收合格</w:t>
      </w:r>
      <w:r>
        <w:rPr>
          <w:rFonts w:hint="eastAsia" w:cs="宋体"/>
          <w:szCs w:val="21"/>
          <w:highlight w:val="none"/>
        </w:rPr>
        <w:t>后</w:t>
      </w:r>
      <w:r>
        <w:rPr>
          <w:rFonts w:hint="eastAsia" w:ascii="宋体" w:hAnsi="宋体" w:cs="宋体"/>
          <w:szCs w:val="21"/>
          <w:highlight w:val="none"/>
        </w:rPr>
        <w:t>1</w:t>
      </w:r>
      <w:r>
        <w:rPr>
          <w:rFonts w:hint="eastAsia" w:ascii="宋体" w:hAnsi="宋体" w:cs="宋体"/>
          <w:szCs w:val="21"/>
          <w:highlight w:val="none"/>
          <w:lang w:val="en-US" w:eastAsia="zh-CN"/>
        </w:rPr>
        <w:t>0</w:t>
      </w:r>
      <w:r>
        <w:rPr>
          <w:rFonts w:hint="eastAsia" w:ascii="宋体" w:hAnsi="宋体" w:cs="宋体"/>
          <w:szCs w:val="21"/>
          <w:highlight w:val="none"/>
        </w:rPr>
        <w:t>个工作日内支付合同总金额的</w:t>
      </w:r>
      <w:r>
        <w:rPr>
          <w:rFonts w:hint="eastAsia" w:cs="宋体"/>
          <w:szCs w:val="21"/>
          <w:highlight w:val="none"/>
          <w:lang w:val="en-US" w:eastAsia="zh-CN"/>
        </w:rPr>
        <w:t>3</w:t>
      </w:r>
      <w:r>
        <w:rPr>
          <w:rFonts w:hint="eastAsia" w:cs="宋体"/>
          <w:szCs w:val="21"/>
          <w:highlight w:val="none"/>
        </w:rPr>
        <w:t>0</w:t>
      </w:r>
      <w:r>
        <w:rPr>
          <w:rFonts w:hint="eastAsia" w:ascii="宋体" w:hAnsi="宋体" w:cs="宋体"/>
          <w:szCs w:val="21"/>
          <w:highlight w:val="none"/>
        </w:rPr>
        <w:t>%</w:t>
      </w:r>
      <w:r>
        <w:rPr>
          <w:rFonts w:hint="eastAsia" w:ascii="宋体" w:hAnsi="宋体" w:cs="宋体"/>
          <w:szCs w:val="21"/>
          <w:highlight w:val="none"/>
          <w:lang w:eastAsia="zh-CN"/>
        </w:rPr>
        <w:t>，</w:t>
      </w:r>
      <w:r>
        <w:rPr>
          <w:rFonts w:hint="eastAsia" w:ascii="宋体" w:hAnsi="宋体" w:cs="宋体"/>
          <w:szCs w:val="21"/>
          <w:highlight w:val="none"/>
          <w:lang w:val="en-US" w:eastAsia="zh-CN"/>
        </w:rPr>
        <w:t>项目整体验收合格后</w:t>
      </w:r>
      <w:r>
        <w:rPr>
          <w:rFonts w:hint="eastAsia" w:ascii="宋体" w:hAnsi="宋体" w:cs="宋体"/>
          <w:szCs w:val="21"/>
          <w:highlight w:val="none"/>
        </w:rPr>
        <w:t>1</w:t>
      </w:r>
      <w:r>
        <w:rPr>
          <w:rFonts w:hint="eastAsia" w:ascii="宋体" w:hAnsi="宋体" w:cs="宋体"/>
          <w:szCs w:val="21"/>
          <w:highlight w:val="none"/>
          <w:lang w:val="en-US" w:eastAsia="zh-CN"/>
        </w:rPr>
        <w:t>0</w:t>
      </w:r>
      <w:r>
        <w:rPr>
          <w:rFonts w:hint="eastAsia" w:ascii="宋体" w:hAnsi="宋体" w:cs="宋体"/>
          <w:szCs w:val="21"/>
          <w:highlight w:val="none"/>
        </w:rPr>
        <w:t>个工作日内支付合同总金额的</w:t>
      </w:r>
      <w:r>
        <w:rPr>
          <w:rFonts w:hint="eastAsia" w:ascii="宋体" w:hAnsi="宋体" w:cs="宋体"/>
          <w:szCs w:val="21"/>
          <w:highlight w:val="none"/>
          <w:lang w:val="en-US" w:eastAsia="zh-CN"/>
        </w:rPr>
        <w:t>20%</w:t>
      </w:r>
      <w:r>
        <w:rPr>
          <w:rFonts w:hint="eastAsia" w:ascii="宋体" w:hAnsi="宋体" w:cs="宋体"/>
          <w:szCs w:val="21"/>
          <w:highlight w:val="none"/>
        </w:rPr>
        <w:t>。</w:t>
      </w:r>
    </w:p>
    <w:p w14:paraId="61896769">
      <w:pPr>
        <w:pStyle w:val="14"/>
        <w:spacing w:line="400" w:lineRule="exact"/>
        <w:ind w:firstLine="0" w:firstLineChars="0"/>
        <w:rPr>
          <w:rFonts w:ascii="宋体" w:hAnsi="宋体"/>
          <w:b/>
          <w:bCs/>
          <w:szCs w:val="21"/>
          <w:highlight w:val="none"/>
        </w:rPr>
      </w:pPr>
      <w:r>
        <w:rPr>
          <w:rFonts w:hint="eastAsia" w:ascii="宋体" w:hAnsi="宋体"/>
          <w:b/>
          <w:bCs/>
          <w:szCs w:val="21"/>
          <w:highlight w:val="none"/>
        </w:rPr>
        <w:t>4、质量考核验收标准及违约金</w:t>
      </w:r>
    </w:p>
    <w:p w14:paraId="60F31B6E">
      <w:pPr>
        <w:pStyle w:val="14"/>
        <w:spacing w:line="400" w:lineRule="exact"/>
        <w:rPr>
          <w:rFonts w:ascii="宋体" w:hAnsi="宋体" w:cs="宋体"/>
          <w:szCs w:val="21"/>
          <w:highlight w:val="none"/>
        </w:rPr>
      </w:pPr>
      <w:r>
        <w:rPr>
          <w:rFonts w:hint="eastAsia" w:ascii="宋体" w:hAnsi="宋体" w:cs="宋体"/>
          <w:szCs w:val="21"/>
          <w:highlight w:val="none"/>
        </w:rPr>
        <w:t>1.质量考核验收标准：参照政府采购相关法律法规以及《财政部关于进一步加强政府采购需求和履约验收管理的指导意见》(财库〔2016〕205号)文件的相关要求进行验收。同时按国家有关规定、招标文件的质量要求和技术指标、中标人的投标文件及承诺与合同约定进行验收。</w:t>
      </w:r>
    </w:p>
    <w:p w14:paraId="0ED438FD">
      <w:pPr>
        <w:pStyle w:val="14"/>
        <w:spacing w:line="400" w:lineRule="exact"/>
        <w:rPr>
          <w:rFonts w:ascii="宋体" w:hAnsi="宋体" w:cs="宋体"/>
          <w:szCs w:val="21"/>
          <w:highlight w:val="none"/>
        </w:rPr>
      </w:pPr>
      <w:r>
        <w:rPr>
          <w:rFonts w:hint="eastAsia" w:ascii="宋体" w:hAnsi="宋体" w:cs="宋体"/>
          <w:szCs w:val="21"/>
          <w:highlight w:val="none"/>
        </w:rPr>
        <w:t>2.违约金：如中标人不能按时完成的，如因中标人原因导致每逾期一天向采购人支付合同金额0.05%的违约金，逾期15天仍不能完成的，采购人有权单方面终止合同，同时中标人还须向采购人支付合同金额5%的违约金，且还需根据给采购人造成的损失情况向采购人赔偿。</w:t>
      </w:r>
    </w:p>
    <w:p w14:paraId="0056FD4B">
      <w:pPr>
        <w:spacing w:line="400" w:lineRule="exact"/>
        <w:rPr>
          <w:rFonts w:ascii="宋体" w:hAnsi="宋体"/>
          <w:b/>
          <w:bCs/>
          <w:szCs w:val="21"/>
          <w:highlight w:val="none"/>
        </w:rPr>
      </w:pPr>
      <w:r>
        <w:rPr>
          <w:rFonts w:hint="eastAsia" w:ascii="宋体" w:hAnsi="宋体"/>
          <w:b/>
          <w:bCs/>
          <w:szCs w:val="21"/>
          <w:highlight w:val="none"/>
        </w:rPr>
        <w:t>5、其他：</w:t>
      </w:r>
    </w:p>
    <w:p w14:paraId="12800E18">
      <w:pPr>
        <w:pStyle w:val="14"/>
        <w:spacing w:line="400" w:lineRule="exact"/>
        <w:rPr>
          <w:rFonts w:ascii="宋体" w:hAnsi="宋体" w:cs="宋体"/>
          <w:szCs w:val="21"/>
          <w:highlight w:val="none"/>
        </w:rPr>
      </w:pPr>
      <w:r>
        <w:rPr>
          <w:rFonts w:hint="eastAsia" w:ascii="宋体" w:hAnsi="宋体" w:cs="宋体"/>
          <w:szCs w:val="21"/>
          <w:highlight w:val="none"/>
        </w:rPr>
        <w:t>1.中标人须提交的合规性内控体系成果资料包括纸质文件和电子文件（格式按采购人需求提供），纸质文件（彩印）6套，电子文件（U盘）1套。成果资料必须签署齐全、图文清楚、图面清晰、资料完整。</w:t>
      </w:r>
    </w:p>
    <w:p w14:paraId="71AED645">
      <w:pPr>
        <w:pStyle w:val="14"/>
        <w:spacing w:line="400" w:lineRule="exact"/>
        <w:rPr>
          <w:rFonts w:ascii="宋体" w:hAnsi="宋体" w:cs="宋体"/>
          <w:szCs w:val="21"/>
          <w:highlight w:val="none"/>
        </w:rPr>
      </w:pPr>
      <w:r>
        <w:rPr>
          <w:rFonts w:hint="eastAsia" w:ascii="宋体" w:hAnsi="宋体" w:cs="宋体"/>
          <w:szCs w:val="21"/>
          <w:highlight w:val="none"/>
        </w:rPr>
        <w:t>2.其他详见合同模板条款要求。</w:t>
      </w:r>
    </w:p>
    <w:p w14:paraId="0900F28F">
      <w:pPr>
        <w:rPr>
          <w:highlight w:val="none"/>
        </w:rPr>
      </w:pPr>
    </w:p>
    <w:p w14:paraId="09157102">
      <w:pPr>
        <w:pStyle w:val="2"/>
        <w:numPr>
          <w:ilvl w:val="0"/>
          <w:numId w:val="0"/>
        </w:numPr>
        <w:spacing w:before="0" w:after="0" w:line="360" w:lineRule="auto"/>
        <w:ind w:left="420" w:leftChars="0" w:hanging="420" w:firstLineChars="0"/>
        <w:rPr>
          <w:highlight w:val="none"/>
        </w:rPr>
      </w:pPr>
      <w:bookmarkStart w:id="7" w:name="_Toc196470794"/>
      <w:r>
        <w:rPr>
          <w:rFonts w:hint="eastAsia" w:cs="Times New Roman"/>
          <w:b/>
          <w:bCs/>
          <w:kern w:val="0"/>
          <w:sz w:val="32"/>
          <w:szCs w:val="32"/>
          <w:highlight w:val="none"/>
          <w:lang w:val="en-US" w:eastAsia="zh-CN" w:bidi="ar-SA"/>
        </w:rPr>
        <w:t>四</w:t>
      </w:r>
      <w:r>
        <w:rPr>
          <w:rFonts w:ascii="Arial" w:hAnsi="Arial" w:eastAsia="黑体" w:cs="Times New Roman"/>
          <w:b/>
          <w:bCs/>
          <w:kern w:val="0"/>
          <w:sz w:val="32"/>
          <w:szCs w:val="32"/>
          <w:highlight w:val="none"/>
          <w:lang w:val="en-US" w:eastAsia="zh-CN" w:bidi="ar-SA"/>
        </w:rPr>
        <w:t>、</w:t>
      </w:r>
      <w:r>
        <w:rPr>
          <w:highlight w:val="none"/>
        </w:rPr>
        <w:t>技术（服务）要求</w:t>
      </w:r>
      <w:bookmarkEnd w:id="6"/>
      <w:bookmarkEnd w:id="7"/>
    </w:p>
    <w:p w14:paraId="7FA2EC94">
      <w:pPr>
        <w:pStyle w:val="2"/>
        <w:rPr>
          <w:rFonts w:ascii="宋体" w:hAnsi="宋体" w:eastAsia="宋体" w:cs="宋体"/>
          <w:sz w:val="21"/>
          <w:szCs w:val="21"/>
          <w:highlight w:val="none"/>
        </w:rPr>
      </w:pPr>
      <w:bookmarkStart w:id="8" w:name="_Toc196470795"/>
      <w:r>
        <w:rPr>
          <w:rFonts w:hint="eastAsia" w:ascii="宋体" w:hAnsi="宋体" w:eastAsia="宋体" w:cs="宋体"/>
          <w:sz w:val="21"/>
          <w:szCs w:val="21"/>
          <w:highlight w:val="none"/>
        </w:rPr>
        <w:t>(一) 服务项目清单</w:t>
      </w:r>
      <w:bookmarkEnd w:id="8"/>
    </w:p>
    <w:p w14:paraId="7BA702F7">
      <w:pPr>
        <w:spacing w:line="400" w:lineRule="exact"/>
        <w:ind w:firstLine="420"/>
        <w:rPr>
          <w:rFonts w:ascii="宋体" w:hAnsi="宋体"/>
          <w:szCs w:val="21"/>
          <w:highlight w:val="none"/>
        </w:rPr>
      </w:pPr>
      <w:r>
        <w:rPr>
          <w:rFonts w:hint="eastAsia" w:ascii="宋体" w:hAnsi="宋体" w:cs="宋体"/>
          <w:szCs w:val="21"/>
          <w:highlight w:val="none"/>
        </w:rPr>
        <w:t>中标人需安排项目负责人与采购人进行对接，并按照采购人要求安排人员在规定时间内(3个月)完成医院内部控制建设工作。</w:t>
      </w:r>
    </w:p>
    <w:tbl>
      <w:tblPr>
        <w:tblStyle w:val="8"/>
        <w:tblW w:w="878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6"/>
        <w:gridCol w:w="3224"/>
        <w:gridCol w:w="1250"/>
        <w:gridCol w:w="3374"/>
      </w:tblGrid>
      <w:tr w14:paraId="7E2ED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936" w:type="dxa"/>
            <w:vAlign w:val="center"/>
          </w:tcPr>
          <w:p w14:paraId="56E35FFA">
            <w:pPr>
              <w:jc w:val="center"/>
              <w:rPr>
                <w:rFonts w:ascii="宋体" w:hAnsi="宋体"/>
                <w:szCs w:val="21"/>
                <w:highlight w:val="none"/>
              </w:rPr>
            </w:pPr>
            <w:r>
              <w:rPr>
                <w:rFonts w:hint="eastAsia" w:ascii="宋体" w:hAnsi="宋体" w:cs="宋体"/>
                <w:szCs w:val="21"/>
                <w:highlight w:val="none"/>
              </w:rPr>
              <w:t>序号</w:t>
            </w:r>
          </w:p>
        </w:tc>
        <w:tc>
          <w:tcPr>
            <w:tcW w:w="3224" w:type="dxa"/>
            <w:vAlign w:val="center"/>
          </w:tcPr>
          <w:p w14:paraId="638AE223">
            <w:pPr>
              <w:ind w:firstLine="420"/>
              <w:jc w:val="center"/>
              <w:rPr>
                <w:rFonts w:ascii="宋体" w:hAnsi="宋体"/>
                <w:szCs w:val="21"/>
                <w:highlight w:val="none"/>
              </w:rPr>
            </w:pPr>
            <w:r>
              <w:rPr>
                <w:rFonts w:hint="eastAsia" w:ascii="宋体" w:hAnsi="宋体" w:cs="宋体"/>
                <w:szCs w:val="21"/>
                <w:highlight w:val="none"/>
              </w:rPr>
              <w:t>项目名称</w:t>
            </w:r>
          </w:p>
        </w:tc>
        <w:tc>
          <w:tcPr>
            <w:tcW w:w="1250" w:type="dxa"/>
            <w:vAlign w:val="center"/>
          </w:tcPr>
          <w:p w14:paraId="5EC41FB5">
            <w:pPr>
              <w:jc w:val="center"/>
              <w:rPr>
                <w:rFonts w:ascii="宋体" w:hAnsi="宋体"/>
                <w:szCs w:val="21"/>
                <w:highlight w:val="none"/>
              </w:rPr>
            </w:pPr>
            <w:r>
              <w:rPr>
                <w:rFonts w:hint="eastAsia" w:ascii="宋体" w:hAnsi="宋体" w:cs="宋体"/>
                <w:szCs w:val="21"/>
                <w:highlight w:val="none"/>
              </w:rPr>
              <w:t>数量</w:t>
            </w:r>
          </w:p>
        </w:tc>
        <w:tc>
          <w:tcPr>
            <w:tcW w:w="3374" w:type="dxa"/>
            <w:vAlign w:val="center"/>
          </w:tcPr>
          <w:p w14:paraId="1894DD57">
            <w:pPr>
              <w:ind w:firstLine="420"/>
              <w:jc w:val="center"/>
              <w:rPr>
                <w:rFonts w:ascii="宋体" w:hAnsi="宋体"/>
                <w:szCs w:val="21"/>
                <w:highlight w:val="none"/>
              </w:rPr>
            </w:pPr>
            <w:r>
              <w:rPr>
                <w:rFonts w:hint="eastAsia" w:ascii="宋体" w:hAnsi="宋体" w:cs="宋体"/>
                <w:szCs w:val="21"/>
                <w:highlight w:val="none"/>
              </w:rPr>
              <w:t>服务期限</w:t>
            </w:r>
          </w:p>
        </w:tc>
      </w:tr>
      <w:tr w14:paraId="4C007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 w:type="dxa"/>
          </w:tcPr>
          <w:p w14:paraId="12B44DD1">
            <w:pPr>
              <w:ind w:firstLine="420"/>
              <w:rPr>
                <w:rFonts w:ascii="宋体" w:hAnsi="宋体"/>
                <w:szCs w:val="21"/>
                <w:highlight w:val="none"/>
              </w:rPr>
            </w:pPr>
            <w:r>
              <w:rPr>
                <w:rFonts w:hint="eastAsia" w:ascii="宋体" w:hAnsi="宋体" w:cs="宋体"/>
                <w:szCs w:val="21"/>
                <w:highlight w:val="none"/>
              </w:rPr>
              <w:t>1</w:t>
            </w:r>
          </w:p>
        </w:tc>
        <w:tc>
          <w:tcPr>
            <w:tcW w:w="3224" w:type="dxa"/>
          </w:tcPr>
          <w:p w14:paraId="2DD47F67">
            <w:pPr>
              <w:ind w:firstLine="420"/>
              <w:rPr>
                <w:rFonts w:ascii="宋体" w:hAnsi="宋体"/>
                <w:szCs w:val="21"/>
                <w:highlight w:val="none"/>
              </w:rPr>
            </w:pPr>
            <w:r>
              <w:rPr>
                <w:rFonts w:hint="eastAsia" w:ascii="宋体" w:hAnsi="宋体" w:cs="宋体"/>
                <w:szCs w:val="21"/>
                <w:highlight w:val="none"/>
              </w:rPr>
              <w:t>尽职调查</w:t>
            </w:r>
          </w:p>
        </w:tc>
        <w:tc>
          <w:tcPr>
            <w:tcW w:w="1250" w:type="dxa"/>
          </w:tcPr>
          <w:p w14:paraId="1EAE4E93">
            <w:pPr>
              <w:ind w:firstLine="420"/>
              <w:rPr>
                <w:rFonts w:ascii="宋体" w:hAnsi="宋体"/>
                <w:szCs w:val="21"/>
                <w:highlight w:val="none"/>
              </w:rPr>
            </w:pPr>
            <w:r>
              <w:rPr>
                <w:rFonts w:hint="eastAsia" w:ascii="宋体" w:hAnsi="宋体" w:cs="宋体"/>
                <w:szCs w:val="21"/>
                <w:highlight w:val="none"/>
              </w:rPr>
              <w:t>1</w:t>
            </w:r>
          </w:p>
        </w:tc>
        <w:tc>
          <w:tcPr>
            <w:tcW w:w="3374" w:type="dxa"/>
            <w:vAlign w:val="center"/>
          </w:tcPr>
          <w:p w14:paraId="5BEA4540">
            <w:pPr>
              <w:jc w:val="center"/>
              <w:rPr>
                <w:rFonts w:ascii="宋体" w:hAnsi="宋体"/>
                <w:szCs w:val="21"/>
                <w:highlight w:val="none"/>
              </w:rPr>
            </w:pPr>
            <w:r>
              <w:rPr>
                <w:rFonts w:hint="eastAsia" w:ascii="宋体" w:hAnsi="宋体"/>
                <w:szCs w:val="21"/>
                <w:highlight w:val="none"/>
              </w:rPr>
              <w:t>合同签订后三个月内完成</w:t>
            </w:r>
          </w:p>
        </w:tc>
      </w:tr>
      <w:tr w14:paraId="1BE10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 w:type="dxa"/>
          </w:tcPr>
          <w:p w14:paraId="62DF3B9A">
            <w:pPr>
              <w:ind w:firstLine="420"/>
              <w:rPr>
                <w:rFonts w:ascii="宋体" w:hAnsi="宋体"/>
                <w:szCs w:val="21"/>
                <w:highlight w:val="none"/>
              </w:rPr>
            </w:pPr>
            <w:r>
              <w:rPr>
                <w:rFonts w:hint="eastAsia" w:ascii="宋体" w:hAnsi="宋体" w:cs="宋体"/>
                <w:szCs w:val="21"/>
                <w:highlight w:val="none"/>
              </w:rPr>
              <w:t>2</w:t>
            </w:r>
          </w:p>
        </w:tc>
        <w:tc>
          <w:tcPr>
            <w:tcW w:w="3224" w:type="dxa"/>
          </w:tcPr>
          <w:p w14:paraId="5F0C6D25">
            <w:pPr>
              <w:ind w:firstLine="420"/>
              <w:rPr>
                <w:rFonts w:ascii="宋体" w:hAnsi="宋体"/>
                <w:szCs w:val="21"/>
                <w:highlight w:val="none"/>
              </w:rPr>
            </w:pPr>
            <w:r>
              <w:rPr>
                <w:rFonts w:hint="eastAsia" w:ascii="宋体" w:hAnsi="宋体" w:cs="宋体"/>
                <w:szCs w:val="21"/>
                <w:highlight w:val="none"/>
              </w:rPr>
              <w:t>制定优化方案</w:t>
            </w:r>
          </w:p>
        </w:tc>
        <w:tc>
          <w:tcPr>
            <w:tcW w:w="1250" w:type="dxa"/>
          </w:tcPr>
          <w:p w14:paraId="1CDD46AA">
            <w:pPr>
              <w:ind w:firstLine="420"/>
              <w:rPr>
                <w:rFonts w:ascii="宋体" w:hAnsi="宋体"/>
                <w:szCs w:val="21"/>
                <w:highlight w:val="none"/>
              </w:rPr>
            </w:pPr>
            <w:r>
              <w:rPr>
                <w:rFonts w:hint="eastAsia" w:ascii="宋体" w:hAnsi="宋体" w:cs="宋体"/>
                <w:szCs w:val="21"/>
                <w:highlight w:val="none"/>
              </w:rPr>
              <w:t>1</w:t>
            </w:r>
          </w:p>
        </w:tc>
        <w:tc>
          <w:tcPr>
            <w:tcW w:w="3374" w:type="dxa"/>
            <w:vAlign w:val="center"/>
          </w:tcPr>
          <w:p w14:paraId="0CE0BB04">
            <w:pPr>
              <w:jc w:val="center"/>
              <w:rPr>
                <w:rFonts w:ascii="宋体" w:hAnsi="宋体"/>
                <w:szCs w:val="21"/>
                <w:highlight w:val="none"/>
              </w:rPr>
            </w:pPr>
            <w:r>
              <w:rPr>
                <w:rFonts w:hint="eastAsia" w:ascii="宋体" w:hAnsi="宋体"/>
                <w:szCs w:val="21"/>
                <w:highlight w:val="none"/>
              </w:rPr>
              <w:t>合同签订后三个月内完成</w:t>
            </w:r>
          </w:p>
        </w:tc>
      </w:tr>
      <w:tr w14:paraId="6734E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 w:type="dxa"/>
          </w:tcPr>
          <w:p w14:paraId="3082AF6B">
            <w:pPr>
              <w:ind w:firstLine="420"/>
              <w:rPr>
                <w:rFonts w:ascii="宋体" w:hAnsi="宋体"/>
                <w:szCs w:val="21"/>
                <w:highlight w:val="none"/>
              </w:rPr>
            </w:pPr>
            <w:r>
              <w:rPr>
                <w:rFonts w:hint="eastAsia" w:ascii="宋体" w:hAnsi="宋体" w:cs="宋体"/>
                <w:szCs w:val="21"/>
                <w:highlight w:val="none"/>
              </w:rPr>
              <w:t>3</w:t>
            </w:r>
          </w:p>
        </w:tc>
        <w:tc>
          <w:tcPr>
            <w:tcW w:w="3224" w:type="dxa"/>
          </w:tcPr>
          <w:p w14:paraId="7396ADC2">
            <w:pPr>
              <w:ind w:firstLine="420"/>
              <w:rPr>
                <w:rFonts w:ascii="宋体" w:hAnsi="宋体"/>
                <w:szCs w:val="21"/>
                <w:highlight w:val="none"/>
              </w:rPr>
            </w:pPr>
            <w:r>
              <w:rPr>
                <w:rFonts w:hint="eastAsia" w:ascii="宋体" w:hAnsi="宋体" w:cs="宋体"/>
                <w:szCs w:val="21"/>
                <w:highlight w:val="none"/>
              </w:rPr>
              <w:t>分步优化制度</w:t>
            </w:r>
          </w:p>
        </w:tc>
        <w:tc>
          <w:tcPr>
            <w:tcW w:w="1250" w:type="dxa"/>
          </w:tcPr>
          <w:p w14:paraId="51302F86">
            <w:pPr>
              <w:ind w:firstLine="420"/>
              <w:rPr>
                <w:rFonts w:ascii="宋体" w:hAnsi="宋体"/>
                <w:szCs w:val="21"/>
                <w:highlight w:val="none"/>
              </w:rPr>
            </w:pPr>
            <w:r>
              <w:rPr>
                <w:rFonts w:hint="eastAsia" w:ascii="宋体" w:hAnsi="宋体" w:cs="宋体"/>
                <w:szCs w:val="21"/>
                <w:highlight w:val="none"/>
              </w:rPr>
              <w:t>1</w:t>
            </w:r>
          </w:p>
        </w:tc>
        <w:tc>
          <w:tcPr>
            <w:tcW w:w="3374" w:type="dxa"/>
            <w:vAlign w:val="center"/>
          </w:tcPr>
          <w:p w14:paraId="7CDEA73C">
            <w:pPr>
              <w:jc w:val="center"/>
              <w:rPr>
                <w:rFonts w:ascii="宋体" w:hAnsi="宋体"/>
                <w:szCs w:val="21"/>
                <w:highlight w:val="none"/>
              </w:rPr>
            </w:pPr>
            <w:r>
              <w:rPr>
                <w:rFonts w:hint="eastAsia" w:ascii="宋体" w:hAnsi="宋体"/>
                <w:szCs w:val="21"/>
                <w:highlight w:val="none"/>
              </w:rPr>
              <w:t>合同签订后三个月内完成</w:t>
            </w:r>
          </w:p>
        </w:tc>
      </w:tr>
      <w:tr w14:paraId="2DA40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 w:type="dxa"/>
          </w:tcPr>
          <w:p w14:paraId="4130640B">
            <w:pPr>
              <w:ind w:firstLine="420"/>
              <w:rPr>
                <w:rFonts w:ascii="宋体" w:hAnsi="宋体"/>
                <w:szCs w:val="21"/>
                <w:highlight w:val="none"/>
              </w:rPr>
            </w:pPr>
            <w:r>
              <w:rPr>
                <w:rFonts w:hint="eastAsia" w:ascii="宋体" w:hAnsi="宋体" w:cs="宋体"/>
                <w:szCs w:val="21"/>
                <w:highlight w:val="none"/>
              </w:rPr>
              <w:t>4</w:t>
            </w:r>
          </w:p>
        </w:tc>
        <w:tc>
          <w:tcPr>
            <w:tcW w:w="3224" w:type="dxa"/>
          </w:tcPr>
          <w:p w14:paraId="24FE1674">
            <w:pPr>
              <w:ind w:firstLine="420"/>
              <w:rPr>
                <w:rFonts w:ascii="宋体" w:hAnsi="宋体"/>
                <w:szCs w:val="21"/>
                <w:highlight w:val="none"/>
              </w:rPr>
            </w:pPr>
            <w:r>
              <w:rPr>
                <w:rFonts w:hint="eastAsia" w:ascii="宋体" w:hAnsi="宋体" w:cs="宋体"/>
                <w:szCs w:val="21"/>
                <w:highlight w:val="none"/>
              </w:rPr>
              <w:t>流程梳理再造</w:t>
            </w:r>
          </w:p>
        </w:tc>
        <w:tc>
          <w:tcPr>
            <w:tcW w:w="1250" w:type="dxa"/>
          </w:tcPr>
          <w:p w14:paraId="1F34C3A7">
            <w:pPr>
              <w:ind w:firstLine="420"/>
              <w:rPr>
                <w:rFonts w:ascii="宋体" w:hAnsi="宋体"/>
                <w:szCs w:val="21"/>
                <w:highlight w:val="none"/>
              </w:rPr>
            </w:pPr>
            <w:r>
              <w:rPr>
                <w:rFonts w:hint="eastAsia" w:ascii="宋体" w:hAnsi="宋体" w:cs="宋体"/>
                <w:szCs w:val="21"/>
                <w:highlight w:val="none"/>
              </w:rPr>
              <w:t>1</w:t>
            </w:r>
          </w:p>
        </w:tc>
        <w:tc>
          <w:tcPr>
            <w:tcW w:w="3374" w:type="dxa"/>
            <w:vAlign w:val="center"/>
          </w:tcPr>
          <w:p w14:paraId="3120FB9A">
            <w:pPr>
              <w:jc w:val="center"/>
              <w:rPr>
                <w:rFonts w:ascii="宋体" w:hAnsi="宋体"/>
                <w:szCs w:val="21"/>
                <w:highlight w:val="none"/>
              </w:rPr>
            </w:pPr>
            <w:r>
              <w:rPr>
                <w:rFonts w:hint="eastAsia" w:ascii="宋体" w:hAnsi="宋体"/>
                <w:szCs w:val="21"/>
                <w:highlight w:val="none"/>
              </w:rPr>
              <w:t>合同签订后三个月内完成</w:t>
            </w:r>
          </w:p>
        </w:tc>
      </w:tr>
      <w:tr w14:paraId="25EC4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 w:type="dxa"/>
          </w:tcPr>
          <w:p w14:paraId="331BA88E">
            <w:pPr>
              <w:ind w:firstLine="420"/>
              <w:rPr>
                <w:rFonts w:ascii="宋体" w:hAnsi="宋体"/>
                <w:szCs w:val="21"/>
                <w:highlight w:val="none"/>
              </w:rPr>
            </w:pPr>
            <w:r>
              <w:rPr>
                <w:rFonts w:hint="eastAsia" w:ascii="宋体" w:hAnsi="宋体" w:cs="宋体"/>
                <w:szCs w:val="21"/>
                <w:highlight w:val="none"/>
              </w:rPr>
              <w:t>5</w:t>
            </w:r>
          </w:p>
        </w:tc>
        <w:tc>
          <w:tcPr>
            <w:tcW w:w="3224" w:type="dxa"/>
          </w:tcPr>
          <w:p w14:paraId="7C6A8B29">
            <w:pPr>
              <w:ind w:firstLine="420"/>
              <w:rPr>
                <w:rFonts w:ascii="宋体" w:hAnsi="宋体"/>
                <w:szCs w:val="21"/>
                <w:highlight w:val="none"/>
              </w:rPr>
            </w:pPr>
            <w:r>
              <w:rPr>
                <w:rFonts w:hint="eastAsia" w:ascii="宋体" w:hAnsi="宋体" w:cs="宋体"/>
                <w:szCs w:val="21"/>
                <w:highlight w:val="none"/>
              </w:rPr>
              <w:t>表单绘制</w:t>
            </w:r>
          </w:p>
        </w:tc>
        <w:tc>
          <w:tcPr>
            <w:tcW w:w="1250" w:type="dxa"/>
          </w:tcPr>
          <w:p w14:paraId="0044A771">
            <w:pPr>
              <w:ind w:firstLine="420"/>
              <w:rPr>
                <w:rFonts w:ascii="宋体" w:hAnsi="宋体"/>
                <w:szCs w:val="21"/>
                <w:highlight w:val="none"/>
              </w:rPr>
            </w:pPr>
            <w:r>
              <w:rPr>
                <w:rFonts w:hint="eastAsia" w:ascii="宋体" w:hAnsi="宋体" w:cs="宋体"/>
                <w:szCs w:val="21"/>
                <w:highlight w:val="none"/>
              </w:rPr>
              <w:t>1</w:t>
            </w:r>
          </w:p>
        </w:tc>
        <w:tc>
          <w:tcPr>
            <w:tcW w:w="3374" w:type="dxa"/>
            <w:vAlign w:val="center"/>
          </w:tcPr>
          <w:p w14:paraId="3F667C1E">
            <w:pPr>
              <w:jc w:val="center"/>
              <w:rPr>
                <w:rFonts w:ascii="宋体" w:hAnsi="宋体"/>
                <w:szCs w:val="21"/>
                <w:highlight w:val="none"/>
              </w:rPr>
            </w:pPr>
            <w:r>
              <w:rPr>
                <w:rFonts w:hint="eastAsia" w:ascii="宋体" w:hAnsi="宋体"/>
                <w:szCs w:val="21"/>
                <w:highlight w:val="none"/>
              </w:rPr>
              <w:t>合同签订后三个月内完成</w:t>
            </w:r>
          </w:p>
        </w:tc>
      </w:tr>
      <w:tr w14:paraId="760CC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 w:type="dxa"/>
          </w:tcPr>
          <w:p w14:paraId="0D69902E">
            <w:pPr>
              <w:ind w:firstLine="420"/>
              <w:rPr>
                <w:rFonts w:ascii="宋体" w:hAnsi="宋体"/>
                <w:szCs w:val="21"/>
                <w:highlight w:val="none"/>
              </w:rPr>
            </w:pPr>
            <w:r>
              <w:rPr>
                <w:rFonts w:hint="eastAsia" w:ascii="宋体" w:hAnsi="宋体" w:cs="宋体"/>
                <w:szCs w:val="21"/>
                <w:highlight w:val="none"/>
              </w:rPr>
              <w:t>6</w:t>
            </w:r>
          </w:p>
        </w:tc>
        <w:tc>
          <w:tcPr>
            <w:tcW w:w="3224" w:type="dxa"/>
          </w:tcPr>
          <w:p w14:paraId="7A6EB41E">
            <w:pPr>
              <w:ind w:firstLine="420"/>
              <w:rPr>
                <w:rFonts w:ascii="宋体" w:hAnsi="宋体"/>
                <w:szCs w:val="21"/>
                <w:highlight w:val="none"/>
              </w:rPr>
            </w:pPr>
            <w:r>
              <w:rPr>
                <w:rFonts w:hint="eastAsia" w:ascii="宋体" w:hAnsi="宋体" w:cs="宋体"/>
                <w:szCs w:val="21"/>
                <w:highlight w:val="none"/>
              </w:rPr>
              <w:t>制定优化方案</w:t>
            </w:r>
          </w:p>
        </w:tc>
        <w:tc>
          <w:tcPr>
            <w:tcW w:w="1250" w:type="dxa"/>
          </w:tcPr>
          <w:p w14:paraId="097D6E14">
            <w:pPr>
              <w:ind w:firstLine="420"/>
              <w:rPr>
                <w:rFonts w:ascii="宋体" w:hAnsi="宋体"/>
                <w:szCs w:val="21"/>
                <w:highlight w:val="none"/>
              </w:rPr>
            </w:pPr>
            <w:r>
              <w:rPr>
                <w:rFonts w:hint="eastAsia" w:ascii="宋体" w:hAnsi="宋体" w:cs="宋体"/>
                <w:szCs w:val="21"/>
                <w:highlight w:val="none"/>
              </w:rPr>
              <w:t>1</w:t>
            </w:r>
          </w:p>
        </w:tc>
        <w:tc>
          <w:tcPr>
            <w:tcW w:w="3374" w:type="dxa"/>
            <w:vAlign w:val="center"/>
          </w:tcPr>
          <w:p w14:paraId="2D343621">
            <w:pPr>
              <w:jc w:val="center"/>
              <w:rPr>
                <w:rFonts w:ascii="宋体" w:hAnsi="宋体"/>
                <w:szCs w:val="21"/>
                <w:highlight w:val="none"/>
              </w:rPr>
            </w:pPr>
            <w:r>
              <w:rPr>
                <w:rFonts w:hint="eastAsia" w:ascii="宋体" w:hAnsi="宋体"/>
                <w:szCs w:val="21"/>
                <w:highlight w:val="none"/>
              </w:rPr>
              <w:t>合同签订后三个月内完成</w:t>
            </w:r>
          </w:p>
        </w:tc>
      </w:tr>
      <w:tr w14:paraId="656D6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 w:type="dxa"/>
          </w:tcPr>
          <w:p w14:paraId="22F497CD">
            <w:pPr>
              <w:ind w:firstLine="420"/>
              <w:rPr>
                <w:rFonts w:ascii="宋体" w:hAnsi="宋体"/>
                <w:szCs w:val="21"/>
                <w:highlight w:val="none"/>
              </w:rPr>
            </w:pPr>
            <w:r>
              <w:rPr>
                <w:rFonts w:hint="eastAsia" w:ascii="宋体" w:hAnsi="宋体" w:cs="宋体"/>
                <w:szCs w:val="21"/>
                <w:highlight w:val="none"/>
              </w:rPr>
              <w:t>7</w:t>
            </w:r>
          </w:p>
        </w:tc>
        <w:tc>
          <w:tcPr>
            <w:tcW w:w="3224" w:type="dxa"/>
          </w:tcPr>
          <w:p w14:paraId="661148FB">
            <w:pPr>
              <w:ind w:firstLine="420"/>
              <w:rPr>
                <w:rFonts w:ascii="宋体" w:hAnsi="宋体"/>
                <w:szCs w:val="21"/>
                <w:highlight w:val="none"/>
              </w:rPr>
            </w:pPr>
            <w:r>
              <w:rPr>
                <w:rFonts w:hint="eastAsia" w:ascii="宋体" w:hAnsi="宋体" w:cs="宋体"/>
                <w:szCs w:val="21"/>
                <w:highlight w:val="none"/>
              </w:rPr>
              <w:t>形成内控手册征求意见稿</w:t>
            </w:r>
          </w:p>
        </w:tc>
        <w:tc>
          <w:tcPr>
            <w:tcW w:w="1250" w:type="dxa"/>
          </w:tcPr>
          <w:p w14:paraId="46ED7373">
            <w:pPr>
              <w:ind w:firstLine="420"/>
              <w:rPr>
                <w:rFonts w:ascii="宋体" w:hAnsi="宋体"/>
                <w:szCs w:val="21"/>
                <w:highlight w:val="none"/>
              </w:rPr>
            </w:pPr>
            <w:r>
              <w:rPr>
                <w:rFonts w:hint="eastAsia" w:ascii="宋体" w:hAnsi="宋体" w:cs="宋体"/>
                <w:szCs w:val="21"/>
                <w:highlight w:val="none"/>
              </w:rPr>
              <w:t>1</w:t>
            </w:r>
          </w:p>
        </w:tc>
        <w:tc>
          <w:tcPr>
            <w:tcW w:w="3374" w:type="dxa"/>
            <w:vAlign w:val="center"/>
          </w:tcPr>
          <w:p w14:paraId="1F0EBD8B">
            <w:pPr>
              <w:jc w:val="center"/>
              <w:rPr>
                <w:rFonts w:ascii="宋体" w:hAnsi="宋体"/>
                <w:szCs w:val="21"/>
                <w:highlight w:val="none"/>
              </w:rPr>
            </w:pPr>
            <w:r>
              <w:rPr>
                <w:rFonts w:hint="eastAsia" w:ascii="宋体" w:hAnsi="宋体"/>
                <w:szCs w:val="21"/>
                <w:highlight w:val="none"/>
              </w:rPr>
              <w:t>合同签订后三个月内完成</w:t>
            </w:r>
          </w:p>
        </w:tc>
      </w:tr>
      <w:tr w14:paraId="60413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 w:type="dxa"/>
          </w:tcPr>
          <w:p w14:paraId="4B7FD550">
            <w:pPr>
              <w:ind w:firstLine="420"/>
              <w:rPr>
                <w:rFonts w:ascii="宋体" w:hAnsi="宋体"/>
                <w:szCs w:val="21"/>
                <w:highlight w:val="none"/>
              </w:rPr>
            </w:pPr>
            <w:r>
              <w:rPr>
                <w:rFonts w:hint="eastAsia" w:ascii="宋体" w:hAnsi="宋体" w:cs="宋体"/>
                <w:szCs w:val="21"/>
                <w:highlight w:val="none"/>
              </w:rPr>
              <w:t>8</w:t>
            </w:r>
          </w:p>
        </w:tc>
        <w:tc>
          <w:tcPr>
            <w:tcW w:w="3224" w:type="dxa"/>
          </w:tcPr>
          <w:p w14:paraId="595DE412">
            <w:pPr>
              <w:ind w:firstLine="420"/>
              <w:rPr>
                <w:rFonts w:ascii="宋体" w:hAnsi="宋体"/>
                <w:szCs w:val="21"/>
                <w:highlight w:val="none"/>
              </w:rPr>
            </w:pPr>
            <w:r>
              <w:rPr>
                <w:rFonts w:hint="eastAsia" w:ascii="宋体" w:hAnsi="宋体" w:cs="宋体"/>
                <w:szCs w:val="21"/>
                <w:highlight w:val="none"/>
              </w:rPr>
              <w:t>定稿</w:t>
            </w:r>
          </w:p>
        </w:tc>
        <w:tc>
          <w:tcPr>
            <w:tcW w:w="1250" w:type="dxa"/>
          </w:tcPr>
          <w:p w14:paraId="1E4DD271">
            <w:pPr>
              <w:ind w:firstLine="420"/>
              <w:rPr>
                <w:rFonts w:ascii="宋体" w:hAnsi="宋体"/>
                <w:szCs w:val="21"/>
                <w:highlight w:val="none"/>
              </w:rPr>
            </w:pPr>
            <w:r>
              <w:rPr>
                <w:rFonts w:hint="eastAsia" w:ascii="宋体" w:hAnsi="宋体" w:cs="宋体"/>
                <w:szCs w:val="21"/>
                <w:highlight w:val="none"/>
              </w:rPr>
              <w:t>1</w:t>
            </w:r>
          </w:p>
        </w:tc>
        <w:tc>
          <w:tcPr>
            <w:tcW w:w="3374" w:type="dxa"/>
            <w:vAlign w:val="center"/>
          </w:tcPr>
          <w:p w14:paraId="128ACEC4">
            <w:pPr>
              <w:jc w:val="center"/>
              <w:rPr>
                <w:rFonts w:ascii="宋体" w:hAnsi="宋体"/>
                <w:szCs w:val="21"/>
                <w:highlight w:val="none"/>
              </w:rPr>
            </w:pPr>
            <w:r>
              <w:rPr>
                <w:rFonts w:hint="eastAsia" w:ascii="宋体" w:hAnsi="宋体"/>
                <w:szCs w:val="21"/>
                <w:highlight w:val="none"/>
              </w:rPr>
              <w:t>合同签订后三个月内完成</w:t>
            </w:r>
          </w:p>
        </w:tc>
      </w:tr>
      <w:tr w14:paraId="47CF1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9" w:hRule="atLeast"/>
        </w:trPr>
        <w:tc>
          <w:tcPr>
            <w:tcW w:w="936" w:type="dxa"/>
          </w:tcPr>
          <w:p w14:paraId="452C49B5">
            <w:pPr>
              <w:ind w:firstLine="420"/>
              <w:rPr>
                <w:rFonts w:ascii="宋体" w:hAnsi="宋体"/>
                <w:szCs w:val="21"/>
                <w:highlight w:val="none"/>
              </w:rPr>
            </w:pPr>
            <w:r>
              <w:rPr>
                <w:rFonts w:hint="eastAsia" w:ascii="宋体" w:hAnsi="宋体" w:cs="宋体"/>
                <w:szCs w:val="21"/>
                <w:highlight w:val="none"/>
              </w:rPr>
              <w:t>9</w:t>
            </w:r>
          </w:p>
        </w:tc>
        <w:tc>
          <w:tcPr>
            <w:tcW w:w="3224" w:type="dxa"/>
          </w:tcPr>
          <w:p w14:paraId="5891B82F">
            <w:pPr>
              <w:ind w:firstLine="420"/>
              <w:rPr>
                <w:rFonts w:ascii="宋体" w:hAnsi="宋体"/>
                <w:szCs w:val="21"/>
                <w:highlight w:val="none"/>
              </w:rPr>
            </w:pPr>
            <w:r>
              <w:rPr>
                <w:rFonts w:hint="eastAsia" w:ascii="宋体" w:hAnsi="宋体" w:cs="宋体"/>
                <w:szCs w:val="21"/>
                <w:highlight w:val="none"/>
              </w:rPr>
              <w:t>举办内控专题培训</w:t>
            </w:r>
          </w:p>
        </w:tc>
        <w:tc>
          <w:tcPr>
            <w:tcW w:w="1250" w:type="dxa"/>
          </w:tcPr>
          <w:p w14:paraId="72157892">
            <w:pPr>
              <w:ind w:firstLine="420"/>
              <w:rPr>
                <w:rFonts w:ascii="宋体" w:hAnsi="宋体"/>
                <w:szCs w:val="21"/>
                <w:highlight w:val="none"/>
              </w:rPr>
            </w:pPr>
            <w:r>
              <w:rPr>
                <w:rFonts w:hint="eastAsia" w:ascii="宋体" w:hAnsi="宋体" w:cs="宋体"/>
                <w:szCs w:val="21"/>
                <w:highlight w:val="none"/>
              </w:rPr>
              <w:t>1</w:t>
            </w:r>
          </w:p>
        </w:tc>
        <w:tc>
          <w:tcPr>
            <w:tcW w:w="3374" w:type="dxa"/>
            <w:vAlign w:val="center"/>
          </w:tcPr>
          <w:p w14:paraId="1069846F">
            <w:pPr>
              <w:jc w:val="center"/>
              <w:rPr>
                <w:rFonts w:ascii="宋体" w:hAnsi="宋体"/>
                <w:szCs w:val="21"/>
                <w:highlight w:val="none"/>
              </w:rPr>
            </w:pPr>
            <w:r>
              <w:rPr>
                <w:rFonts w:hint="eastAsia" w:ascii="宋体" w:hAnsi="宋体"/>
                <w:szCs w:val="21"/>
                <w:highlight w:val="none"/>
              </w:rPr>
              <w:t>合同签订后三个月内完成</w:t>
            </w:r>
          </w:p>
        </w:tc>
      </w:tr>
    </w:tbl>
    <w:p w14:paraId="245CCCEB">
      <w:pPr>
        <w:pStyle w:val="2"/>
        <w:rPr>
          <w:rFonts w:ascii="宋体" w:hAnsi="宋体" w:eastAsia="宋体" w:cs="宋体"/>
          <w:sz w:val="21"/>
          <w:szCs w:val="21"/>
          <w:highlight w:val="none"/>
        </w:rPr>
      </w:pPr>
      <w:r>
        <w:rPr>
          <w:rFonts w:hint="eastAsia" w:ascii="宋体" w:hAnsi="宋体" w:eastAsia="宋体" w:cs="宋体"/>
          <w:sz w:val="21"/>
          <w:szCs w:val="21"/>
          <w:highlight w:val="none"/>
        </w:rPr>
        <w:t xml:space="preserve"> </w:t>
      </w:r>
      <w:bookmarkStart w:id="9" w:name="_Toc196470796"/>
      <w:r>
        <w:rPr>
          <w:rFonts w:hint="eastAsia" w:ascii="宋体" w:hAnsi="宋体" w:eastAsia="宋体" w:cs="宋体"/>
          <w:sz w:val="21"/>
          <w:szCs w:val="21"/>
          <w:highlight w:val="none"/>
        </w:rPr>
        <w:t>(二)</w:t>
      </w:r>
      <w:r>
        <w:rPr>
          <w:rFonts w:hint="eastAsia" w:ascii="宋体" w:hAnsi="宋体" w:eastAsia="宋体" w:cs="宋体"/>
          <w:bCs w:val="0"/>
          <w:sz w:val="21"/>
          <w:szCs w:val="21"/>
          <w:highlight w:val="none"/>
        </w:rPr>
        <w:t xml:space="preserve"> 项目管理和服务要求</w:t>
      </w:r>
      <w:bookmarkEnd w:id="9"/>
    </w:p>
    <w:p w14:paraId="7DAE3CA4">
      <w:pPr>
        <w:rPr>
          <w:rFonts w:hint="eastAsia" w:ascii="宋体" w:hAnsi="宋体" w:cs="宋体"/>
          <w:szCs w:val="21"/>
          <w:highlight w:val="none"/>
        </w:rPr>
      </w:pP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传统模块内控体系优化</w:t>
      </w:r>
    </w:p>
    <w:p w14:paraId="20596494">
      <w:pPr>
        <w:ind w:firstLine="420" w:firstLineChars="200"/>
        <w:rPr>
          <w:rFonts w:hint="eastAsia" w:ascii="宋体" w:hAnsi="宋体" w:cs="宋体"/>
          <w:szCs w:val="21"/>
          <w:highlight w:val="none"/>
        </w:rPr>
      </w:pPr>
      <w:r>
        <w:rPr>
          <w:rFonts w:hint="eastAsia" w:ascii="宋体" w:hAnsi="宋体" w:cs="宋体"/>
          <w:szCs w:val="21"/>
          <w:highlight w:val="none"/>
        </w:rPr>
        <w:t>本次传统模块内控体系优化项目，主要围绕医院预算管理、收支管理、政府采购管理、资产管理等模块开展。</w:t>
      </w:r>
    </w:p>
    <w:p w14:paraId="20744521">
      <w:pPr>
        <w:rPr>
          <w:rFonts w:hint="eastAsia" w:ascii="宋体" w:hAnsi="宋体" w:cs="宋体"/>
          <w:szCs w:val="21"/>
          <w:highlight w:val="none"/>
        </w:rPr>
      </w:pP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新模块内控体系建设</w:t>
      </w:r>
    </w:p>
    <w:p w14:paraId="6576D10B">
      <w:pPr>
        <w:ind w:firstLine="420" w:firstLineChars="200"/>
        <w:rPr>
          <w:highlight w:val="none"/>
        </w:rPr>
      </w:pPr>
      <w:r>
        <w:rPr>
          <w:rFonts w:hint="eastAsia" w:ascii="宋体" w:hAnsi="宋体" w:cs="宋体"/>
          <w:szCs w:val="21"/>
          <w:highlight w:val="none"/>
        </w:rPr>
        <w:t>本次新模块内控体系建设项目，主要围绕医院信息化管理模块开展。</w:t>
      </w:r>
    </w:p>
    <w:p w14:paraId="6C19BC7A">
      <w:pPr>
        <w:numPr>
          <w:ilvl w:val="0"/>
          <w:numId w:val="1"/>
        </w:numPr>
        <w:spacing w:line="400" w:lineRule="exact"/>
        <w:ind w:firstLine="0"/>
        <w:rPr>
          <w:rFonts w:hint="eastAsia" w:ascii="宋体" w:hAnsi="宋体" w:cs="宋体"/>
          <w:szCs w:val="21"/>
          <w:highlight w:val="none"/>
        </w:rPr>
      </w:pPr>
      <w:r>
        <w:rPr>
          <w:rFonts w:hint="eastAsia" w:ascii="宋体" w:hAnsi="宋体" w:cs="宋体"/>
          <w:szCs w:val="21"/>
          <w:highlight w:val="none"/>
        </w:rPr>
        <w:t>在充分调研梳理的基础上，结合各部门意见，建立健全内控管理制度及细则，制定流程框架、流程图、流程说明、重点业务经费支出指南、关键岗位职责说明等。</w:t>
      </w:r>
    </w:p>
    <w:p w14:paraId="3D647D3D">
      <w:pPr>
        <w:spacing w:line="400" w:lineRule="exact"/>
        <w:ind w:firstLine="0"/>
        <w:rPr>
          <w:szCs w:val="21"/>
          <w:highlight w:val="none"/>
        </w:rPr>
      </w:pPr>
      <w:r>
        <w:rPr>
          <w:rFonts w:hint="eastAsia" w:ascii="宋体" w:hAnsi="宋体" w:cs="宋体"/>
          <w:szCs w:val="21"/>
          <w:highlight w:val="none"/>
          <w:lang w:val="en-US" w:eastAsia="zh-CN"/>
        </w:rPr>
        <w:t>4、</w:t>
      </w:r>
      <w:r>
        <w:rPr>
          <w:rFonts w:hint="eastAsia" w:ascii="宋体" w:hAnsi="宋体" w:cs="宋体"/>
          <w:szCs w:val="21"/>
          <w:highlight w:val="none"/>
        </w:rPr>
        <w:t>将优化完善后的制度、流程、表单等文档形成内部控制规范手册，作为指导开展内部控制工作的指引。按照内控手册概述、风险评估与内部控制方法、单位管理层面内部控制、业务层面内部控制、内部控制自我评价与监督等部分编制出具内部控制手册。</w:t>
      </w:r>
    </w:p>
    <w:p w14:paraId="4A850323">
      <w:pPr>
        <w:numPr>
          <w:ilvl w:val="-1"/>
          <w:numId w:val="0"/>
        </w:numPr>
        <w:spacing w:line="400" w:lineRule="exact"/>
        <w:ind w:firstLine="0"/>
        <w:rPr>
          <w:rFonts w:hint="eastAsia" w:ascii="宋体" w:hAnsi="宋体" w:cs="宋体"/>
          <w:szCs w:val="21"/>
          <w:highlight w:val="none"/>
        </w:rPr>
      </w:pPr>
    </w:p>
    <w:p w14:paraId="304142E0">
      <w:pPr>
        <w:rPr>
          <w:rFonts w:hint="eastAsia" w:eastAsia="宋体"/>
          <w:highlight w:val="none"/>
          <w:lang w:val="en-US" w:eastAsia="zh-CN"/>
        </w:rPr>
      </w:pPr>
    </w:p>
    <w:p w14:paraId="5E753140">
      <w:pPr>
        <w:rPr>
          <w:highlight w:val="none"/>
        </w:rPr>
      </w:pPr>
    </w:p>
    <w:p w14:paraId="258DF069">
      <w:pPr>
        <w:widowControl/>
        <w:jc w:val="left"/>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A26A41"/>
    <w:multiLevelType w:val="singleLevel"/>
    <w:tmpl w:val="FCA26A4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E5C"/>
    <w:rsid w:val="001E12EB"/>
    <w:rsid w:val="002323D2"/>
    <w:rsid w:val="00262BE8"/>
    <w:rsid w:val="00291032"/>
    <w:rsid w:val="0029324B"/>
    <w:rsid w:val="005172E8"/>
    <w:rsid w:val="00584704"/>
    <w:rsid w:val="005C2B02"/>
    <w:rsid w:val="00692F35"/>
    <w:rsid w:val="006C7478"/>
    <w:rsid w:val="007A2A27"/>
    <w:rsid w:val="009872C6"/>
    <w:rsid w:val="00A13E5C"/>
    <w:rsid w:val="00CD2128"/>
    <w:rsid w:val="00CD2A94"/>
    <w:rsid w:val="00EF7DA3"/>
    <w:rsid w:val="00F91278"/>
    <w:rsid w:val="01473718"/>
    <w:rsid w:val="037E320E"/>
    <w:rsid w:val="05C50C80"/>
    <w:rsid w:val="098350DA"/>
    <w:rsid w:val="0AC84C22"/>
    <w:rsid w:val="0B3568A8"/>
    <w:rsid w:val="0B4C599F"/>
    <w:rsid w:val="0D8D5496"/>
    <w:rsid w:val="10D17073"/>
    <w:rsid w:val="11361DC4"/>
    <w:rsid w:val="11A77DD3"/>
    <w:rsid w:val="11FE6200"/>
    <w:rsid w:val="13576E9A"/>
    <w:rsid w:val="13620456"/>
    <w:rsid w:val="164C2CF7"/>
    <w:rsid w:val="181B0BD3"/>
    <w:rsid w:val="25284930"/>
    <w:rsid w:val="26396DF4"/>
    <w:rsid w:val="278247CB"/>
    <w:rsid w:val="29183639"/>
    <w:rsid w:val="2C2B7B54"/>
    <w:rsid w:val="2C435DD3"/>
    <w:rsid w:val="2FC724AE"/>
    <w:rsid w:val="2FDD4C94"/>
    <w:rsid w:val="31CF2D03"/>
    <w:rsid w:val="346C65E7"/>
    <w:rsid w:val="34F62974"/>
    <w:rsid w:val="360821B1"/>
    <w:rsid w:val="37122EE5"/>
    <w:rsid w:val="37A75B88"/>
    <w:rsid w:val="3B6B3A9C"/>
    <w:rsid w:val="46184AE1"/>
    <w:rsid w:val="462211FB"/>
    <w:rsid w:val="47680E90"/>
    <w:rsid w:val="49AD34D2"/>
    <w:rsid w:val="49C01457"/>
    <w:rsid w:val="4A7638C4"/>
    <w:rsid w:val="502344EE"/>
    <w:rsid w:val="517B2107"/>
    <w:rsid w:val="54996B2C"/>
    <w:rsid w:val="55B33C1E"/>
    <w:rsid w:val="62E80C7F"/>
    <w:rsid w:val="64EF09EB"/>
    <w:rsid w:val="65774CFF"/>
    <w:rsid w:val="67DA328C"/>
    <w:rsid w:val="69180CD5"/>
    <w:rsid w:val="69DD3507"/>
    <w:rsid w:val="6C1D7BEB"/>
    <w:rsid w:val="6C9E51AE"/>
    <w:rsid w:val="71744751"/>
    <w:rsid w:val="73C36887"/>
    <w:rsid w:val="761D22D9"/>
    <w:rsid w:val="79020895"/>
    <w:rsid w:val="797F5A41"/>
    <w:rsid w:val="79C618C2"/>
    <w:rsid w:val="7C016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2"/>
    <w:qFormat/>
    <w:uiPriority w:val="0"/>
    <w:pPr>
      <w:keepNext/>
      <w:keepLines/>
      <w:spacing w:before="260" w:after="260" w:line="416" w:lineRule="auto"/>
      <w:outlineLvl w:val="1"/>
    </w:pPr>
    <w:rPr>
      <w:rFonts w:ascii="Arial" w:hAnsi="Arial" w:eastAsia="黑体"/>
      <w:b/>
      <w:bCs/>
      <w:kern w:val="0"/>
      <w:sz w:val="32"/>
      <w:szCs w:val="32"/>
    </w:rPr>
  </w:style>
  <w:style w:type="paragraph" w:styleId="3">
    <w:name w:val="heading 3"/>
    <w:basedOn w:val="1"/>
    <w:next w:val="1"/>
    <w:link w:val="15"/>
    <w:semiHidden/>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link w:val="16"/>
    <w:qFormat/>
    <w:uiPriority w:val="99"/>
    <w:pPr>
      <w:snapToGrid w:val="0"/>
      <w:spacing w:afterLines="30" w:line="300" w:lineRule="auto"/>
      <w:ind w:firstLine="200" w:firstLineChars="200"/>
    </w:pPr>
    <w:rPr>
      <w:kern w:val="0"/>
      <w:sz w:val="20"/>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标题 2 字符"/>
    <w:basedOn w:val="9"/>
    <w:link w:val="2"/>
    <w:qFormat/>
    <w:uiPriority w:val="0"/>
    <w:rPr>
      <w:rFonts w:ascii="Arial" w:hAnsi="Arial" w:eastAsia="黑体" w:cs="Times New Roman"/>
      <w:b/>
      <w:bCs/>
      <w:kern w:val="0"/>
      <w:sz w:val="32"/>
      <w:szCs w:val="32"/>
    </w:rPr>
  </w:style>
  <w:style w:type="character" w:customStyle="1" w:styleId="13">
    <w:name w:val="列表段落 字符"/>
    <w:link w:val="14"/>
    <w:qFormat/>
    <w:uiPriority w:val="34"/>
    <w:rPr>
      <w:rFonts w:ascii="Calibri" w:hAnsi="Calibri"/>
    </w:rPr>
  </w:style>
  <w:style w:type="paragraph" w:styleId="14">
    <w:name w:val="List Paragraph"/>
    <w:basedOn w:val="1"/>
    <w:link w:val="13"/>
    <w:qFormat/>
    <w:uiPriority w:val="34"/>
    <w:pPr>
      <w:ind w:firstLine="420" w:firstLineChars="200"/>
    </w:pPr>
    <w:rPr>
      <w:rFonts w:eastAsiaTheme="minorEastAsia" w:cstheme="minorBidi"/>
      <w:szCs w:val="22"/>
    </w:rPr>
  </w:style>
  <w:style w:type="character" w:customStyle="1" w:styleId="15">
    <w:name w:val="标题 3 字符"/>
    <w:basedOn w:val="9"/>
    <w:link w:val="3"/>
    <w:semiHidden/>
    <w:qFormat/>
    <w:uiPriority w:val="9"/>
    <w:rPr>
      <w:rFonts w:ascii="Calibri" w:hAnsi="Calibri" w:eastAsia="宋体" w:cs="Times New Roman"/>
      <w:b/>
      <w:bCs/>
      <w:sz w:val="32"/>
      <w:szCs w:val="32"/>
    </w:rPr>
  </w:style>
  <w:style w:type="character" w:customStyle="1" w:styleId="16">
    <w:name w:val="正文文本 字符"/>
    <w:basedOn w:val="9"/>
    <w:link w:val="4"/>
    <w:qFormat/>
    <w:uiPriority w:val="99"/>
    <w:rPr>
      <w:rFonts w:ascii="Calibri" w:hAnsi="Calibri" w:eastAsia="宋体" w:cs="Times New Roman"/>
      <w:kern w:val="0"/>
      <w:sz w:val="20"/>
      <w:szCs w:val="24"/>
    </w:rPr>
  </w:style>
  <w:style w:type="character" w:customStyle="1" w:styleId="17">
    <w:name w:val="标题1"/>
    <w:qFormat/>
    <w:uiPriority w:val="0"/>
  </w:style>
  <w:style w:type="paragraph" w:customStyle="1" w:styleId="18">
    <w:name w:val="Char1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3</Pages>
  <Words>2260</Words>
  <Characters>2317</Characters>
  <Lines>35</Lines>
  <Paragraphs>9</Paragraphs>
  <TotalTime>0</TotalTime>
  <ScaleCrop>false</ScaleCrop>
  <LinksUpToDate>false</LinksUpToDate>
  <CharactersWithSpaces>2322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2025-06-25T08:44:00Z</dcterms:created>
  <dc:creator>User</dc:creator>
  <cp:lastModifiedBy>scott</cp:lastModifiedBy>
  <dcterms:modified xsi:type="dcterms:W3CDTF">2025-06-27T00:33:45Z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eyJoZGlkIjoiNTlhMGE2NzcxZTA5MmEzOWU1NmYwYWRjMDE0ZDEwMTkiLCJ1c2VySWQiOiIyNDg0MjA5MjAifQ==</vt:lpwstr>
  </property>
  <property fmtid="{D5CDD505-2E9C-101B-9397-08002B2CF9AE}" pid="3" name="KSOProductBuildVer">
    <vt:lpwstr>2052-12.1.0.21541</vt:lpwstr>
  </property>
  <property fmtid="{D5CDD505-2E9C-101B-9397-08002B2CF9AE}" pid="4" name="ICV">
    <vt:lpwstr>934383F1400F470DA3BAB72262394DE5_13</vt:lpwstr>
  </property>
</Properties>
</file>