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F9F38C">
      <w:pPr>
        <w:pStyle w:val="2"/>
        <w:spacing w:before="0" w:line="240" w:lineRule="auto"/>
        <w:rPr>
          <w:rFonts w:hint="eastAsia" w:cs="宋体" w:asciiTheme="minorEastAsia" w:hAnsiTheme="minorEastAsia"/>
          <w:sz w:val="36"/>
          <w:szCs w:val="36"/>
        </w:rPr>
      </w:pPr>
      <w:bookmarkStart w:id="0" w:name="_Toc201843566"/>
      <w:r>
        <w:rPr>
          <w:rFonts w:hint="eastAsia" w:cs="宋体" w:asciiTheme="minorEastAsia" w:hAnsiTheme="minorEastAsia"/>
          <w:sz w:val="36"/>
          <w:szCs w:val="36"/>
        </w:rPr>
        <w:t>一、项目的背景</w:t>
      </w:r>
      <w:bookmarkEnd w:id="0"/>
    </w:p>
    <w:p w14:paraId="3F0141FD">
      <w:pPr>
        <w:pStyle w:val="8"/>
        <w:ind w:firstLine="0" w:firstLineChars="0"/>
        <w:jc w:val="left"/>
        <w:rPr>
          <w:rFonts w:hint="eastAsia" w:cs="宋体" w:asciiTheme="minorEastAsia" w:hAnsiTheme="minorEastAsia"/>
          <w:sz w:val="24"/>
          <w:szCs w:val="24"/>
        </w:rPr>
      </w:pPr>
      <w:r>
        <w:rPr>
          <w:rFonts w:hint="eastAsia" w:cs="宋体" w:asciiTheme="minorEastAsia" w:hAnsiTheme="minorEastAsia"/>
          <w:sz w:val="24"/>
          <w:szCs w:val="24"/>
        </w:rPr>
        <w:t>1、必要性</w:t>
      </w:r>
    </w:p>
    <w:tbl>
      <w:tblPr>
        <w:tblStyle w:val="5"/>
        <w:tblW w:w="5000" w:type="pct"/>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7E514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2E4D51C4">
            <w:pPr>
              <w:spacing w:line="360" w:lineRule="auto"/>
              <w:ind w:firstLine="480" w:firstLineChars="200"/>
              <w:rPr>
                <w:rFonts w:hint="eastAsia" w:asciiTheme="minorEastAsia" w:hAnsiTheme="minorEastAsia"/>
                <w:sz w:val="24"/>
              </w:rPr>
            </w:pPr>
            <w:r>
              <w:rPr>
                <w:rFonts w:hint="eastAsia" w:asciiTheme="minorEastAsia" w:hAnsiTheme="minorEastAsia"/>
                <w:sz w:val="24"/>
              </w:rPr>
              <w:t>统方在医疗行业特指一个医院对医生处方用药量信息的统计。</w:t>
            </w:r>
          </w:p>
          <w:p w14:paraId="67469149">
            <w:pPr>
              <w:spacing w:line="360" w:lineRule="auto"/>
              <w:ind w:firstLine="480" w:firstLineChars="200"/>
              <w:rPr>
                <w:rFonts w:hint="eastAsia" w:asciiTheme="minorEastAsia" w:hAnsiTheme="minorEastAsia"/>
                <w:sz w:val="24"/>
              </w:rPr>
            </w:pPr>
            <w:r>
              <w:rPr>
                <w:rFonts w:hint="eastAsia" w:asciiTheme="minorEastAsia" w:hAnsiTheme="minorEastAsia"/>
                <w:sz w:val="24"/>
              </w:rPr>
              <w:t>卫生部要求，各级卫生行政部门和各类医疗机构加强医院信息系统药品、高值耗材统计功能管理，避免为不正当商业目的统计医师个人和临床科室有关药品、高值耗材用量信息。要对医院信息系统中有关药品、高值耗材使用等信息实行专人负责、加密管理，严格“统方”权限和审批程序，未经批准不得“统方”，严禁为商业目的“统方”。非法统方问题已经引起国家相关领导部门高度重视，卫生部及卫生厅多次发文作出具体指示，重要发文如下：</w:t>
            </w:r>
          </w:p>
          <w:p w14:paraId="1940897E">
            <w:pPr>
              <w:spacing w:line="360" w:lineRule="auto"/>
              <w:ind w:firstLine="480" w:firstLineChars="200"/>
              <w:rPr>
                <w:rFonts w:hint="eastAsia" w:asciiTheme="minorEastAsia" w:hAnsiTheme="minorEastAsia"/>
                <w:sz w:val="24"/>
              </w:rPr>
            </w:pPr>
            <w:r>
              <w:rPr>
                <w:rFonts w:hint="eastAsia" w:asciiTheme="minorEastAsia" w:hAnsiTheme="minorEastAsia"/>
                <w:sz w:val="24"/>
              </w:rPr>
              <w:t>1、卫生部于2006年颁发了《卫生部、国家中医药管理局关于开展治理医药购销领域商业贿赂专项工作的实施意见》、《刑法修正案》，明确医务人员收受回扣属于商业贿赂。</w:t>
            </w:r>
          </w:p>
          <w:p w14:paraId="5BE776CC">
            <w:pPr>
              <w:spacing w:line="360" w:lineRule="auto"/>
              <w:ind w:firstLine="480" w:firstLineChars="200"/>
              <w:rPr>
                <w:rFonts w:hint="eastAsia" w:asciiTheme="minorEastAsia" w:hAnsiTheme="minorEastAsia"/>
                <w:sz w:val="24"/>
              </w:rPr>
            </w:pPr>
            <w:r>
              <w:rPr>
                <w:rFonts w:hint="eastAsia" w:asciiTheme="minorEastAsia" w:hAnsiTheme="minorEastAsia"/>
                <w:sz w:val="24"/>
              </w:rPr>
              <w:t>2、2007年卫生部发布《卫生部办公厅关于加强医院信息系统药品、高值耗材统计功能管理的通知》，要求完善医院信息数据库查询的监测系统，加强对利用计算机网络查询药品、高值耗材的数据监测。</w:t>
            </w:r>
          </w:p>
          <w:p w14:paraId="59C549A6">
            <w:pPr>
              <w:spacing w:line="360" w:lineRule="auto"/>
              <w:ind w:firstLine="480" w:firstLineChars="200"/>
              <w:rPr>
                <w:rFonts w:hint="eastAsia" w:asciiTheme="minorEastAsia" w:hAnsiTheme="minorEastAsia"/>
                <w:sz w:val="24"/>
              </w:rPr>
            </w:pPr>
            <w:r>
              <w:rPr>
                <w:rFonts w:hint="eastAsia" w:asciiTheme="minorEastAsia" w:hAnsiTheme="minorEastAsia"/>
                <w:sz w:val="24"/>
              </w:rPr>
              <w:t>3、2012年9月18日卫生部再次发布《关于加强公立医疗机构廉洁风险防控的指导意见》；明确加强信息系统监管，防止非法统方。</w:t>
            </w:r>
          </w:p>
          <w:p w14:paraId="00A74178">
            <w:pPr>
              <w:spacing w:line="360" w:lineRule="auto"/>
              <w:ind w:firstLine="480" w:firstLineChars="200"/>
              <w:rPr>
                <w:rFonts w:hint="eastAsia" w:asciiTheme="minorEastAsia" w:hAnsiTheme="minorEastAsia"/>
                <w:sz w:val="24"/>
              </w:rPr>
            </w:pPr>
            <w:r>
              <w:rPr>
                <w:rFonts w:hint="eastAsia" w:asciiTheme="minorEastAsia" w:hAnsiTheme="minorEastAsia"/>
                <w:sz w:val="24"/>
              </w:rPr>
              <w:t>4、中医药管理局发布了联合制定的《加强医疗卫生行风建设“九不准”》第六条”不准为商业目的统方”。</w:t>
            </w:r>
          </w:p>
          <w:p w14:paraId="2B875C1B">
            <w:pPr>
              <w:spacing w:line="360" w:lineRule="auto"/>
              <w:ind w:firstLine="480" w:firstLineChars="200"/>
              <w:rPr>
                <w:rFonts w:hint="eastAsia" w:asciiTheme="minorEastAsia" w:hAnsiTheme="minorEastAsia"/>
                <w:sz w:val="24"/>
              </w:rPr>
            </w:pPr>
            <w:r>
              <w:rPr>
                <w:rFonts w:hint="eastAsia" w:asciiTheme="minorEastAsia" w:hAnsiTheme="minorEastAsia"/>
                <w:sz w:val="24"/>
              </w:rPr>
              <w:t>5、卫计委联合国家中医药管理局在2014年底发出了《关于加强医疗卫生机构统方管理的规定》，并于2015年1月1日开始实施。文件明确“严禁为不正当商业目的统方”，对违反规定为不当商业目的统方的，要给予处分，甚至追究刑事责任。</w:t>
            </w:r>
          </w:p>
          <w:p w14:paraId="02E5448A">
            <w:pPr>
              <w:spacing w:line="360" w:lineRule="auto"/>
              <w:ind w:firstLine="480" w:firstLineChars="200"/>
              <w:rPr>
                <w:rFonts w:hint="eastAsia" w:asciiTheme="minorEastAsia" w:hAnsiTheme="minorEastAsia"/>
                <w:sz w:val="24"/>
              </w:rPr>
            </w:pPr>
            <w:r>
              <w:rPr>
                <w:rFonts w:hint="eastAsia" w:asciiTheme="minorEastAsia" w:hAnsiTheme="minorEastAsia"/>
                <w:sz w:val="24"/>
              </w:rPr>
              <w:t>对于违反规定，未经批准擅自“统方”或者为商业目的“统方”的，不仅要对当事人从严处理，还要严肃追究医院有关领导和科室负责人的责任。各级卫生行政部门要加大对辖区内医疗机构“统方”行为的监督检查力度，对未落实“统方”管理要求的医疗机构，要责令其限期整改，尽快建立健全有关管理制度。</w:t>
            </w:r>
          </w:p>
          <w:p w14:paraId="3083211C">
            <w:pPr>
              <w:spacing w:line="360" w:lineRule="auto"/>
              <w:ind w:firstLine="480" w:firstLineChars="200"/>
              <w:rPr>
                <w:rFonts w:hint="eastAsia" w:asciiTheme="minorEastAsia" w:hAnsiTheme="minorEastAsia"/>
                <w:sz w:val="24"/>
              </w:rPr>
            </w:pPr>
            <w:r>
              <w:rPr>
                <w:rFonts w:hint="eastAsia" w:asciiTheme="minorEastAsia" w:hAnsiTheme="minorEastAsia"/>
                <w:sz w:val="24"/>
              </w:rPr>
              <w:t>统方作为医院的关键性敏感数据，包括处方表、药品数据表、患者信息表、临床诊疗过程相关数据表等，存储在每家医院的HIS业务系统内，是整个HIS业务软件的底层数据，贯穿多个业务功能模块。统方数据一旦发生非法访问、数据篡改、数据盗取，将给医院带来巨大损失，降低医院在公众前的形象；数据库作为数据的核心载体，其安全性就更加重要。</w:t>
            </w:r>
          </w:p>
          <w:p w14:paraId="319A0F7F">
            <w:pPr>
              <w:spacing w:line="360" w:lineRule="auto"/>
              <w:ind w:firstLine="480" w:firstLineChars="200"/>
              <w:rPr>
                <w:rFonts w:hint="eastAsia" w:asciiTheme="minorEastAsia" w:hAnsiTheme="minorEastAsia"/>
                <w:sz w:val="24"/>
              </w:rPr>
            </w:pPr>
            <w:r>
              <w:rPr>
                <w:rFonts w:hint="eastAsia" w:asciiTheme="minorEastAsia" w:hAnsiTheme="minorEastAsia"/>
                <w:sz w:val="24"/>
              </w:rPr>
              <w:t>防统方是医院反腐的重要手段。非法统方是药品耗材回扣腐败产业链中的重要一环，非法统方单一旦在网上曝光，将给医院声誉带来极大的伤害，使行风、政风“三好一满意”严重受挫。使得本来就很紧张的医患关系火上浇油，内部管理事件演变成群体性事件，涉及到的相关主管部门及领导苦不堪言。”为进一步加强医疗机构行风建设，维护医疗机构及广大医务工作者的良好形象，促进临床合理用药，降低医药费用，切实减轻患者负担，防止医药购销活动中不正之风的发生，强化防控“统方”行为。</w:t>
            </w:r>
          </w:p>
        </w:tc>
      </w:tr>
    </w:tbl>
    <w:p w14:paraId="0EE71712">
      <w:pPr>
        <w:jc w:val="left"/>
        <w:rPr>
          <w:rFonts w:hint="eastAsia" w:asciiTheme="minorEastAsia" w:hAnsiTheme="minorEastAsia"/>
          <w:sz w:val="24"/>
        </w:rPr>
      </w:pPr>
    </w:p>
    <w:p w14:paraId="526CD6BE">
      <w:pPr>
        <w:pStyle w:val="8"/>
        <w:numPr>
          <w:ilvl w:val="0"/>
          <w:numId w:val="1"/>
        </w:numPr>
        <w:ind w:firstLineChars="0"/>
        <w:jc w:val="left"/>
        <w:rPr>
          <w:rFonts w:hint="eastAsia" w:asciiTheme="minorEastAsia" w:hAnsiTheme="minorEastAsia"/>
          <w:sz w:val="24"/>
          <w:szCs w:val="24"/>
        </w:rPr>
      </w:pPr>
      <w:r>
        <w:rPr>
          <w:rFonts w:hint="eastAsia" w:cs="宋体" w:asciiTheme="minorEastAsia" w:hAnsiTheme="minorEastAsia"/>
          <w:sz w:val="24"/>
          <w:szCs w:val="24"/>
        </w:rPr>
        <w:t>项目建设目标及主要建设内容</w:t>
      </w:r>
    </w:p>
    <w:tbl>
      <w:tblPr>
        <w:tblStyle w:val="5"/>
        <w:tblW w:w="5000" w:type="pct"/>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17A7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3477229F">
            <w:pPr>
              <w:spacing w:line="360" w:lineRule="auto"/>
              <w:ind w:firstLine="480" w:firstLineChars="200"/>
              <w:rPr>
                <w:rFonts w:hint="eastAsia" w:asciiTheme="minorEastAsia" w:hAnsiTheme="minorEastAsia"/>
                <w:sz w:val="24"/>
              </w:rPr>
            </w:pPr>
            <w:r>
              <w:rPr>
                <w:rFonts w:hint="eastAsia" w:asciiTheme="minorEastAsia" w:hAnsiTheme="minorEastAsia"/>
                <w:sz w:val="24"/>
              </w:rPr>
              <w:t>在不影响HIS系统、PACS系统、LIS系统等应用系统正常使用的前提下，在核心业务服务区增设防统方系统，通过对网络中的海量、无序的数据进行处理、分析，一旦出现违规统方事件，系统能够准确描述何人、何时、何地、以何种方式进行违规统方，并提供操作过程回放，供相关人员分析。</w:t>
            </w:r>
          </w:p>
          <w:p w14:paraId="5978014E">
            <w:pPr>
              <w:spacing w:line="360" w:lineRule="auto"/>
              <w:ind w:firstLine="480" w:firstLineChars="200"/>
              <w:rPr>
                <w:rFonts w:hint="eastAsia" w:asciiTheme="minorEastAsia" w:hAnsiTheme="minorEastAsia"/>
                <w:sz w:val="24"/>
              </w:rPr>
            </w:pPr>
            <w:r>
              <w:rPr>
                <w:rFonts w:hint="eastAsia" w:asciiTheme="minorEastAsia" w:hAnsiTheme="minorEastAsia"/>
                <w:sz w:val="24"/>
              </w:rPr>
              <w:t>防统方系统能够记录每个访问者每一次对数据库的操作访问信息，数据访问操作表示为4个要素信息，即：操作者、操作对象、操作时间和操作行为；当数据访问操作发生时，记录何人、何时、何地、对何数据进行了何种操作，并且与预先设置好的审计规则相匹配，如果命中规则审计系统将对操作者、操作时间、操作对象和操作行为信息自动记录、预警，并提供这些信息的查询、统计等功能。从而达到防止统方的目的。</w:t>
            </w:r>
          </w:p>
          <w:p w14:paraId="6BD6FB7A">
            <w:pPr>
              <w:spacing w:line="360" w:lineRule="auto"/>
              <w:ind w:firstLine="480" w:firstLineChars="200"/>
              <w:rPr>
                <w:rFonts w:hint="eastAsia" w:asciiTheme="minorEastAsia" w:hAnsiTheme="minorEastAsia"/>
                <w:sz w:val="24"/>
              </w:rPr>
            </w:pPr>
            <w:r>
              <w:rPr>
                <w:rFonts w:hint="eastAsia" w:asciiTheme="minorEastAsia" w:hAnsiTheme="minorEastAsia"/>
                <w:sz w:val="24"/>
              </w:rPr>
              <w:t>通过对医院核心数据的实时监控，根据事先设置的防统方策略规则，对各类数据操作行为进行细料度、双向、多层溯源分析，使得管理人员对用户行为一目了然，便于及时发现并纠正存在的安全隐患，预防违规统方事件的发生，真正实现违规统方行为的可监控、可审计、可追溯。</w:t>
            </w:r>
          </w:p>
        </w:tc>
      </w:tr>
    </w:tbl>
    <w:p w14:paraId="425960A7">
      <w:pPr>
        <w:jc w:val="left"/>
        <w:rPr>
          <w:rFonts w:hint="eastAsia" w:asciiTheme="minorEastAsia" w:hAnsiTheme="minorEastAsia"/>
          <w:sz w:val="24"/>
        </w:rPr>
      </w:pPr>
    </w:p>
    <w:p w14:paraId="79DDAE4C">
      <w:pPr>
        <w:pStyle w:val="8"/>
        <w:numPr>
          <w:ilvl w:val="0"/>
          <w:numId w:val="1"/>
        </w:numPr>
        <w:ind w:firstLineChars="0"/>
        <w:jc w:val="left"/>
        <w:rPr>
          <w:rFonts w:hint="eastAsia" w:asciiTheme="minorEastAsia" w:hAnsiTheme="minorEastAsia"/>
          <w:sz w:val="24"/>
          <w:szCs w:val="24"/>
        </w:rPr>
      </w:pPr>
      <w:r>
        <w:rPr>
          <w:rFonts w:hint="eastAsia" w:cs="宋体" w:asciiTheme="minorEastAsia" w:hAnsiTheme="minorEastAsia"/>
          <w:sz w:val="24"/>
          <w:szCs w:val="24"/>
        </w:rPr>
        <w:t>项目效益分析</w:t>
      </w:r>
    </w:p>
    <w:tbl>
      <w:tblPr>
        <w:tblStyle w:val="5"/>
        <w:tblW w:w="5000" w:type="pct"/>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A382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48748C53">
            <w:pPr>
              <w:spacing w:line="360" w:lineRule="auto"/>
              <w:ind w:firstLine="480" w:firstLineChars="200"/>
              <w:rPr>
                <w:rFonts w:hint="eastAsia" w:asciiTheme="minorEastAsia" w:hAnsiTheme="minorEastAsia"/>
                <w:sz w:val="24"/>
              </w:rPr>
            </w:pPr>
            <w:r>
              <w:rPr>
                <w:rFonts w:hint="eastAsia" w:asciiTheme="minorEastAsia" w:hAnsiTheme="minorEastAsia"/>
                <w:sz w:val="24"/>
              </w:rPr>
              <w:t>医院以完善制度为核心，以科技手段为支撑，构建“制度+科技”工作模式，逐步建成制度完善、程序严密、配套完备、有效管用的医疗机构信息管理体系，从源头上切断医生与医药代表之间的经济利益联系，防止“统方”，切实预防商业贿赂等腐败行为，实现了防统方手段从制度约束到技术限制的跨越，使工作人员从技术上远离统方禁区，有助于医院行风建设，树良好公众形象，从而提升医院的就诊量，获得更多的经济效益。</w:t>
            </w:r>
          </w:p>
        </w:tc>
      </w:tr>
    </w:tbl>
    <w:p w14:paraId="17A04CBE">
      <w:pPr>
        <w:pStyle w:val="8"/>
        <w:numPr>
          <w:ilvl w:val="0"/>
          <w:numId w:val="1"/>
        </w:numPr>
        <w:ind w:firstLineChars="0"/>
        <w:jc w:val="left"/>
        <w:rPr>
          <w:rFonts w:hint="eastAsia" w:asciiTheme="minorEastAsia" w:hAnsiTheme="minorEastAsia"/>
          <w:sz w:val="24"/>
          <w:szCs w:val="24"/>
        </w:rPr>
      </w:pPr>
      <w:r>
        <w:rPr>
          <w:rFonts w:hint="eastAsia" w:cs="宋体" w:asciiTheme="minorEastAsia" w:hAnsiTheme="minorEastAsia"/>
          <w:sz w:val="24"/>
          <w:szCs w:val="24"/>
        </w:rPr>
        <w:t>现状分析</w:t>
      </w:r>
    </w:p>
    <w:tbl>
      <w:tblPr>
        <w:tblStyle w:val="5"/>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D9D7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14:paraId="7BACC20D">
            <w:pPr>
              <w:pStyle w:val="4"/>
              <w:spacing w:line="360" w:lineRule="auto"/>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目前医院还没有很好的技术措施来防范非法统方行，信息安全维护工作分散到不同医院和部门的不同人员，部分开发、维护工作外包给合作的第三方公司及人员，日常运维过程中普遍存在维护人员较多、缺乏严格的资源授权管理审核、操作不透明、缺乏有效的技术手段来监管，代维人员操作、操作无审计等诸多问题，统方管理监控难。</w:t>
            </w:r>
          </w:p>
        </w:tc>
      </w:tr>
    </w:tbl>
    <w:p w14:paraId="0C5CE6C8">
      <w:pPr>
        <w:jc w:val="left"/>
        <w:rPr>
          <w:rFonts w:hint="eastAsia" w:asciiTheme="minorEastAsia" w:hAnsiTheme="minorEastAsia"/>
          <w:sz w:val="24"/>
        </w:rPr>
      </w:pPr>
    </w:p>
    <w:p w14:paraId="630E34A9">
      <w:pPr>
        <w:numPr>
          <w:ilvl w:val="0"/>
          <w:numId w:val="1"/>
        </w:numPr>
        <w:jc w:val="left"/>
        <w:rPr>
          <w:rFonts w:hint="eastAsia" w:asciiTheme="minorEastAsia" w:hAnsiTheme="minorEastAsia"/>
          <w:sz w:val="24"/>
        </w:rPr>
      </w:pPr>
      <w:r>
        <w:rPr>
          <w:rFonts w:hint="eastAsia" w:cs="宋体" w:asciiTheme="minorEastAsia" w:hAnsiTheme="minorEastAsia"/>
          <w:sz w:val="24"/>
        </w:rPr>
        <w:t>业务需求分析</w:t>
      </w:r>
    </w:p>
    <w:tbl>
      <w:tblPr>
        <w:tblStyle w:val="5"/>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4351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33072577">
            <w:pPr>
              <w:pStyle w:val="4"/>
              <w:spacing w:line="360" w:lineRule="auto"/>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购买防统方系统，对医院核心数据库纳入统方监控，识别统方行为并及时预警。</w:t>
            </w:r>
          </w:p>
        </w:tc>
      </w:tr>
    </w:tbl>
    <w:p w14:paraId="74220F76">
      <w:pPr>
        <w:widowControl/>
        <w:jc w:val="left"/>
        <w:rPr>
          <w:rFonts w:hint="eastAsia" w:asciiTheme="minorEastAsia" w:hAnsiTheme="minorEastAsia"/>
        </w:rPr>
      </w:pPr>
    </w:p>
    <w:p w14:paraId="59B80885">
      <w:pPr>
        <w:pStyle w:val="2"/>
        <w:spacing w:before="0" w:line="240" w:lineRule="auto"/>
        <w:rPr>
          <w:rFonts w:hint="eastAsia" w:asciiTheme="minorEastAsia" w:hAnsiTheme="minorEastAsia"/>
          <w:sz w:val="36"/>
          <w:szCs w:val="36"/>
        </w:rPr>
      </w:pPr>
      <w:bookmarkStart w:id="1" w:name="_Toc201843567"/>
      <w:r>
        <w:rPr>
          <w:rFonts w:hint="eastAsia" w:asciiTheme="minorEastAsia" w:hAnsiTheme="minorEastAsia"/>
          <w:sz w:val="36"/>
          <w:szCs w:val="36"/>
        </w:rPr>
        <w:t>二、采购清单</w:t>
      </w:r>
      <w:bookmarkEnd w:id="1"/>
    </w:p>
    <w:p w14:paraId="042BAA77">
      <w:pPr>
        <w:pStyle w:val="9"/>
        <w:spacing w:line="500" w:lineRule="atLeast"/>
        <w:rPr>
          <w:rFonts w:hint="eastAsia" w:ascii="宋体" w:hAnsi="宋体" w:cs="宋体"/>
          <w:b/>
          <w:sz w:val="24"/>
        </w:rPr>
      </w:pPr>
    </w:p>
    <w:tbl>
      <w:tblPr>
        <w:tblStyle w:val="6"/>
        <w:tblW w:w="7944"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601"/>
        <w:gridCol w:w="709"/>
        <w:gridCol w:w="2977"/>
        <w:gridCol w:w="709"/>
      </w:tblGrid>
      <w:tr w14:paraId="6DD6B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948" w:type="dxa"/>
          </w:tcPr>
          <w:p w14:paraId="1A374A09">
            <w:pPr>
              <w:pStyle w:val="9"/>
              <w:spacing w:line="460" w:lineRule="exact"/>
              <w:jc w:val="center"/>
              <w:rPr>
                <w:rStyle w:val="10"/>
                <w:rFonts w:hint="eastAsia" w:cs="宋体" w:asciiTheme="minorEastAsia" w:hAnsiTheme="minorEastAsia"/>
                <w:b/>
                <w:color w:val="000000"/>
                <w:sz w:val="24"/>
              </w:rPr>
            </w:pPr>
            <w:r>
              <w:rPr>
                <w:rStyle w:val="10"/>
                <w:rFonts w:hint="eastAsia" w:cs="宋体" w:asciiTheme="minorEastAsia" w:hAnsiTheme="minorEastAsia"/>
                <w:b/>
                <w:color w:val="000000"/>
                <w:sz w:val="24"/>
              </w:rPr>
              <w:t>序号</w:t>
            </w:r>
          </w:p>
        </w:tc>
        <w:tc>
          <w:tcPr>
            <w:tcW w:w="2601" w:type="dxa"/>
          </w:tcPr>
          <w:p w14:paraId="561FF497">
            <w:pPr>
              <w:pStyle w:val="9"/>
              <w:spacing w:line="460" w:lineRule="exact"/>
              <w:jc w:val="center"/>
              <w:rPr>
                <w:rStyle w:val="10"/>
                <w:rFonts w:hint="eastAsia" w:cs="宋体" w:asciiTheme="minorEastAsia" w:hAnsiTheme="minorEastAsia"/>
                <w:b/>
                <w:color w:val="000000"/>
                <w:sz w:val="24"/>
              </w:rPr>
            </w:pPr>
            <w:r>
              <w:rPr>
                <w:rStyle w:val="10"/>
                <w:rFonts w:hint="eastAsia" w:cs="宋体" w:asciiTheme="minorEastAsia" w:hAnsiTheme="minorEastAsia"/>
                <w:b/>
                <w:color w:val="000000"/>
                <w:sz w:val="24"/>
              </w:rPr>
              <w:t>项目名称</w:t>
            </w:r>
          </w:p>
        </w:tc>
        <w:tc>
          <w:tcPr>
            <w:tcW w:w="709" w:type="dxa"/>
          </w:tcPr>
          <w:p w14:paraId="22F71CF9">
            <w:pPr>
              <w:pStyle w:val="9"/>
              <w:spacing w:line="460" w:lineRule="exact"/>
              <w:jc w:val="center"/>
              <w:rPr>
                <w:rStyle w:val="10"/>
                <w:rFonts w:hint="eastAsia" w:cs="宋体" w:asciiTheme="minorEastAsia" w:hAnsiTheme="minorEastAsia"/>
                <w:b/>
                <w:color w:val="000000"/>
                <w:sz w:val="24"/>
              </w:rPr>
            </w:pPr>
            <w:r>
              <w:rPr>
                <w:rStyle w:val="10"/>
                <w:rFonts w:hint="eastAsia" w:cs="宋体" w:asciiTheme="minorEastAsia" w:hAnsiTheme="minorEastAsia"/>
                <w:b/>
                <w:color w:val="000000"/>
                <w:sz w:val="24"/>
              </w:rPr>
              <w:t>数量</w:t>
            </w:r>
          </w:p>
        </w:tc>
        <w:tc>
          <w:tcPr>
            <w:tcW w:w="2977" w:type="dxa"/>
          </w:tcPr>
          <w:p w14:paraId="7D1F474F">
            <w:pPr>
              <w:pStyle w:val="9"/>
              <w:spacing w:line="460" w:lineRule="exact"/>
              <w:jc w:val="center"/>
              <w:rPr>
                <w:rStyle w:val="10"/>
                <w:rFonts w:hint="eastAsia" w:cs="宋体" w:asciiTheme="minorEastAsia" w:hAnsiTheme="minorEastAsia"/>
                <w:b/>
                <w:color w:val="000000"/>
                <w:sz w:val="24"/>
              </w:rPr>
            </w:pPr>
            <w:r>
              <w:rPr>
                <w:rStyle w:val="10"/>
                <w:rFonts w:hint="eastAsia" w:cs="宋体" w:asciiTheme="minorEastAsia" w:hAnsiTheme="minorEastAsia"/>
                <w:b/>
                <w:color w:val="000000"/>
                <w:sz w:val="24"/>
              </w:rPr>
              <w:t>部署位置</w:t>
            </w:r>
          </w:p>
        </w:tc>
        <w:tc>
          <w:tcPr>
            <w:tcW w:w="709" w:type="dxa"/>
          </w:tcPr>
          <w:p w14:paraId="33FF8D26">
            <w:pPr>
              <w:pStyle w:val="9"/>
              <w:spacing w:line="460" w:lineRule="exact"/>
              <w:jc w:val="center"/>
              <w:rPr>
                <w:rStyle w:val="10"/>
                <w:rFonts w:hint="eastAsia" w:cs="宋体" w:asciiTheme="minorEastAsia" w:hAnsiTheme="minorEastAsia"/>
                <w:b/>
                <w:color w:val="000000"/>
                <w:sz w:val="24"/>
              </w:rPr>
            </w:pPr>
            <w:r>
              <w:rPr>
                <w:rStyle w:val="10"/>
                <w:rFonts w:hint="eastAsia" w:cs="宋体" w:asciiTheme="minorEastAsia" w:hAnsiTheme="minorEastAsia"/>
                <w:b/>
                <w:color w:val="000000"/>
                <w:sz w:val="24"/>
              </w:rPr>
              <w:t>备注</w:t>
            </w:r>
          </w:p>
        </w:tc>
      </w:tr>
      <w:tr w14:paraId="3ED3D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948" w:type="dxa"/>
            <w:vAlign w:val="center"/>
          </w:tcPr>
          <w:p w14:paraId="60406245">
            <w:pPr>
              <w:pStyle w:val="9"/>
              <w:spacing w:line="460" w:lineRule="exact"/>
              <w:jc w:val="center"/>
              <w:rPr>
                <w:rStyle w:val="10"/>
                <w:rFonts w:hint="eastAsia" w:cs="宋体" w:asciiTheme="minorEastAsia" w:hAnsiTheme="minorEastAsia"/>
                <w:color w:val="000000"/>
                <w:sz w:val="24"/>
              </w:rPr>
            </w:pPr>
            <w:r>
              <w:rPr>
                <w:rStyle w:val="10"/>
                <w:rFonts w:hint="eastAsia" w:cs="宋体" w:asciiTheme="minorEastAsia" w:hAnsiTheme="minorEastAsia"/>
                <w:color w:val="000000"/>
                <w:sz w:val="24"/>
              </w:rPr>
              <w:t>1</w:t>
            </w:r>
          </w:p>
        </w:tc>
        <w:tc>
          <w:tcPr>
            <w:tcW w:w="2601" w:type="dxa"/>
            <w:vAlign w:val="center"/>
          </w:tcPr>
          <w:p w14:paraId="2106E8E1">
            <w:pPr>
              <w:pStyle w:val="9"/>
              <w:spacing w:line="460" w:lineRule="exact"/>
              <w:rPr>
                <w:rStyle w:val="10"/>
                <w:rFonts w:hint="eastAsia" w:cs="宋体" w:asciiTheme="minorEastAsia" w:hAnsiTheme="minorEastAsia"/>
                <w:color w:val="000000"/>
                <w:sz w:val="24"/>
              </w:rPr>
            </w:pPr>
            <w:r>
              <w:rPr>
                <w:rStyle w:val="10"/>
                <w:rFonts w:hint="eastAsia" w:cs="宋体" w:asciiTheme="minorEastAsia" w:hAnsiTheme="minorEastAsia"/>
                <w:color w:val="000000"/>
                <w:sz w:val="24"/>
              </w:rPr>
              <w:t>医院防统方系统</w:t>
            </w:r>
          </w:p>
        </w:tc>
        <w:tc>
          <w:tcPr>
            <w:tcW w:w="709" w:type="dxa"/>
            <w:vAlign w:val="center"/>
          </w:tcPr>
          <w:p w14:paraId="2120C43A">
            <w:pPr>
              <w:pStyle w:val="9"/>
              <w:spacing w:line="460" w:lineRule="exact"/>
              <w:rPr>
                <w:rStyle w:val="10"/>
                <w:rFonts w:hint="eastAsia" w:cs="宋体" w:asciiTheme="minorEastAsia" w:hAnsiTheme="minorEastAsia"/>
                <w:color w:val="000000"/>
                <w:sz w:val="24"/>
              </w:rPr>
            </w:pPr>
            <w:r>
              <w:rPr>
                <w:rStyle w:val="10"/>
                <w:rFonts w:hint="eastAsia" w:cs="宋体" w:asciiTheme="minorEastAsia" w:hAnsiTheme="minorEastAsia"/>
                <w:color w:val="000000"/>
                <w:sz w:val="24"/>
              </w:rPr>
              <w:t>1套</w:t>
            </w:r>
          </w:p>
        </w:tc>
        <w:tc>
          <w:tcPr>
            <w:tcW w:w="2977" w:type="dxa"/>
          </w:tcPr>
          <w:p w14:paraId="0114994D">
            <w:pPr>
              <w:pStyle w:val="9"/>
              <w:spacing w:line="460" w:lineRule="exact"/>
              <w:rPr>
                <w:rStyle w:val="10"/>
                <w:rFonts w:hint="eastAsia" w:cs="宋体" w:asciiTheme="minorEastAsia" w:hAnsiTheme="minorEastAsia"/>
                <w:sz w:val="24"/>
              </w:rPr>
            </w:pPr>
            <w:r>
              <w:rPr>
                <w:rStyle w:val="10"/>
                <w:rFonts w:hint="eastAsia" w:cs="宋体" w:asciiTheme="minorEastAsia" w:hAnsiTheme="minorEastAsia"/>
                <w:sz w:val="24"/>
              </w:rPr>
              <w:t>深圳市中医肛肠医院（福田）本地</w:t>
            </w:r>
          </w:p>
        </w:tc>
        <w:tc>
          <w:tcPr>
            <w:tcW w:w="709" w:type="dxa"/>
          </w:tcPr>
          <w:p w14:paraId="0E49C33E">
            <w:pPr>
              <w:pStyle w:val="9"/>
              <w:spacing w:line="460" w:lineRule="exact"/>
              <w:rPr>
                <w:rStyle w:val="10"/>
                <w:rFonts w:hint="eastAsia" w:cs="宋体" w:asciiTheme="minorEastAsia" w:hAnsiTheme="minorEastAsia"/>
                <w:sz w:val="24"/>
              </w:rPr>
            </w:pPr>
          </w:p>
        </w:tc>
      </w:tr>
    </w:tbl>
    <w:p w14:paraId="5F20C3DD">
      <w:pPr>
        <w:widowControl/>
        <w:jc w:val="left"/>
        <w:rPr>
          <w:rFonts w:hint="eastAsia" w:asciiTheme="minorEastAsia" w:hAnsiTheme="minorEastAsia"/>
        </w:rPr>
      </w:pPr>
    </w:p>
    <w:p w14:paraId="0706D2CD">
      <w:pPr>
        <w:jc w:val="left"/>
        <w:rPr>
          <w:rFonts w:hint="eastAsia" w:asciiTheme="minorEastAsia" w:hAnsiTheme="minorEastAsia"/>
          <w:sz w:val="24"/>
        </w:rPr>
      </w:pPr>
    </w:p>
    <w:p w14:paraId="2BD1A9F6">
      <w:pPr>
        <w:pStyle w:val="2"/>
        <w:spacing w:before="0" w:line="240" w:lineRule="auto"/>
        <w:rPr>
          <w:rFonts w:hint="eastAsia" w:asciiTheme="minorEastAsia" w:hAnsiTheme="minorEastAsia"/>
          <w:sz w:val="36"/>
          <w:szCs w:val="36"/>
        </w:rPr>
      </w:pPr>
      <w:bookmarkStart w:id="2" w:name="_Toc201843568"/>
      <w:r>
        <w:rPr>
          <w:rFonts w:hint="eastAsia" w:asciiTheme="minorEastAsia" w:hAnsiTheme="minorEastAsia"/>
          <w:sz w:val="36"/>
          <w:szCs w:val="36"/>
        </w:rPr>
        <w:t>三、商务要求</w:t>
      </w:r>
      <w:bookmarkEnd w:id="2"/>
    </w:p>
    <w:p w14:paraId="257211A5">
      <w:pPr>
        <w:pStyle w:val="9"/>
        <w:spacing w:line="500" w:lineRule="exact"/>
        <w:rPr>
          <w:rFonts w:hint="eastAsia" w:ascii="宋体" w:hAnsi="宋体" w:cs="宋体"/>
          <w:b/>
          <w:sz w:val="24"/>
        </w:rPr>
      </w:pPr>
      <w:r>
        <w:rPr>
          <w:rFonts w:hint="eastAsia" w:ascii="宋体" w:hAnsi="宋体" w:cs="宋体"/>
          <w:b/>
          <w:sz w:val="24"/>
        </w:rPr>
        <w:t>（一）施工工期及服务地点要求：</w:t>
      </w:r>
    </w:p>
    <w:p w14:paraId="241BA12A">
      <w:pPr>
        <w:pStyle w:val="9"/>
        <w:spacing w:line="500" w:lineRule="exact"/>
        <w:ind w:firstLine="480" w:firstLineChars="200"/>
        <w:rPr>
          <w:rFonts w:hint="eastAsia" w:ascii="宋体" w:hAnsi="宋体" w:cs="宋体"/>
          <w:bCs/>
          <w:sz w:val="24"/>
        </w:rPr>
      </w:pPr>
      <w:r>
        <w:rPr>
          <w:rFonts w:ascii="宋体" w:hAnsi="宋体" w:cs="宋体"/>
          <w:bCs/>
          <w:sz w:val="24"/>
        </w:rPr>
        <w:t>1、</w:t>
      </w:r>
      <w:r>
        <w:rPr>
          <w:rFonts w:hint="eastAsia" w:ascii="宋体" w:hAnsi="宋体" w:cs="宋体"/>
          <w:sz w:val="24"/>
          <w:lang w:bidi="ar"/>
        </w:rPr>
        <w:t>项目整体要求：自合同签订之日起</w:t>
      </w:r>
      <w:r>
        <w:rPr>
          <w:rFonts w:hint="eastAsia" w:ascii="宋体" w:hAnsi="宋体"/>
          <w:sz w:val="24"/>
          <w:lang w:bidi="ar"/>
        </w:rPr>
        <w:t>3</w:t>
      </w:r>
      <w:r>
        <w:rPr>
          <w:rFonts w:hint="eastAsia" w:ascii="宋体" w:hAnsi="宋体" w:cs="宋体"/>
          <w:sz w:val="24"/>
          <w:lang w:bidi="ar"/>
        </w:rPr>
        <w:t>个月内完成开发、安装、调试并交付使用；其中硬件部分：自合同签订之日起15个日历日内完成交货、安装、调试并交付使用；其中软件部分：自合同签订之日起每2个月内完成软件开发、安装、调试并交付使用；其中培训试运行为1个月</w:t>
      </w:r>
      <w:r>
        <w:rPr>
          <w:rFonts w:hint="eastAsia" w:ascii="宋体" w:hAnsi="宋体"/>
          <w:sz w:val="24"/>
        </w:rPr>
        <w:t>。</w:t>
      </w:r>
    </w:p>
    <w:p w14:paraId="530280E7">
      <w:pPr>
        <w:pStyle w:val="9"/>
        <w:spacing w:line="500" w:lineRule="exact"/>
        <w:ind w:firstLine="482" w:firstLineChars="200"/>
        <w:rPr>
          <w:rFonts w:hint="eastAsia" w:ascii="宋体" w:hAnsi="宋体" w:cs="宋体"/>
          <w:b/>
          <w:sz w:val="24"/>
        </w:rPr>
      </w:pPr>
      <w:r>
        <w:rPr>
          <w:rFonts w:hint="eastAsia" w:ascii="宋体" w:hAnsi="宋体" w:cs="宋体"/>
          <w:b/>
          <w:sz w:val="24"/>
        </w:rPr>
        <w:t>2、服务地点：</w:t>
      </w:r>
      <w:r>
        <w:rPr>
          <w:rFonts w:hint="eastAsia" w:asciiTheme="minorEastAsia" w:hAnsiTheme="minorEastAsia"/>
          <w:bCs/>
          <w:sz w:val="24"/>
        </w:rPr>
        <w:t>深圳市中医肛肠医院（福田）</w:t>
      </w:r>
    </w:p>
    <w:p w14:paraId="2218040C">
      <w:pPr>
        <w:pStyle w:val="9"/>
        <w:spacing w:line="500" w:lineRule="exact"/>
        <w:rPr>
          <w:rFonts w:hint="eastAsia" w:ascii="宋体" w:hAnsi="宋体" w:cs="宋体"/>
          <w:b/>
          <w:sz w:val="24"/>
        </w:rPr>
      </w:pPr>
      <w:r>
        <w:rPr>
          <w:rFonts w:ascii="宋体" w:hAnsi="宋体" w:cs="宋体"/>
          <w:b/>
          <w:sz w:val="24"/>
        </w:rPr>
        <w:t>（二）</w:t>
      </w:r>
      <w:r>
        <w:rPr>
          <w:rFonts w:hint="eastAsia" w:ascii="宋体" w:hAnsi="宋体" w:cs="宋体"/>
          <w:b/>
          <w:sz w:val="24"/>
        </w:rPr>
        <w:t>项目实施要求</w:t>
      </w:r>
    </w:p>
    <w:p w14:paraId="0E6009F1">
      <w:pPr>
        <w:pStyle w:val="9"/>
        <w:spacing w:line="500" w:lineRule="exact"/>
        <w:ind w:firstLine="482" w:firstLineChars="200"/>
        <w:rPr>
          <w:rFonts w:hint="eastAsia" w:ascii="宋体" w:hAnsi="宋体" w:cs="宋体"/>
          <w:b/>
          <w:sz w:val="24"/>
        </w:rPr>
      </w:pPr>
      <w:r>
        <w:rPr>
          <w:rFonts w:hint="eastAsia" w:ascii="宋体" w:hAnsi="宋体" w:cs="宋体"/>
          <w:b/>
          <w:sz w:val="24"/>
        </w:rPr>
        <w:t>1、系统方案设计</w:t>
      </w:r>
    </w:p>
    <w:p w14:paraId="156A2444">
      <w:pPr>
        <w:pStyle w:val="9"/>
        <w:spacing w:line="500" w:lineRule="exact"/>
        <w:ind w:firstLine="480" w:firstLineChars="200"/>
        <w:rPr>
          <w:rFonts w:hint="eastAsia" w:ascii="宋体" w:hAnsi="宋体" w:cs="宋体"/>
          <w:bCs/>
          <w:sz w:val="24"/>
        </w:rPr>
      </w:pPr>
      <w:r>
        <w:rPr>
          <w:rFonts w:hint="eastAsia" w:ascii="宋体" w:hAnsi="宋体" w:cs="宋体"/>
          <w:bCs/>
          <w:sz w:val="24"/>
        </w:rPr>
        <w:t>①系统架构设计方案：需要对系统整体架构进行设计，提供架构图，提供架构说明；②系统安全设计方案：需要对系统安全进行设计，提供安全加固、传输加密等方面的说明；③系统性能设计方案：针对系统性能如数据库、应用服务等进行设计，提供性能需求说明</w:t>
      </w:r>
      <w:r>
        <w:rPr>
          <w:rFonts w:hint="eastAsia" w:ascii="宋体" w:hAnsi="宋体" w:cs="宋体"/>
          <w:bCs/>
          <w:sz w:val="24"/>
          <w:lang w:eastAsia="zh-CN"/>
        </w:rPr>
        <w:t>；</w:t>
      </w:r>
      <w:r>
        <w:rPr>
          <w:rFonts w:hint="default" w:ascii="宋体" w:hAnsi="宋体" w:cs="宋体"/>
          <w:bCs/>
          <w:sz w:val="24"/>
        </w:rPr>
        <w:t>④</w:t>
      </w:r>
      <w:r>
        <w:rPr>
          <w:rFonts w:hint="eastAsia" w:ascii="宋体" w:hAnsi="宋体" w:cs="宋体"/>
          <w:bCs/>
          <w:sz w:val="24"/>
          <w:lang w:val="en-US" w:eastAsia="zh-CN"/>
        </w:rPr>
        <w:t>系统配套原厂未开封工程设备机器整机：2U设计，内存32G、</w:t>
      </w:r>
      <w:r>
        <w:rPr>
          <w:rFonts w:ascii="宋体" w:hAnsi="宋体" w:eastAsia="宋体" w:cs="宋体"/>
          <w:sz w:val="24"/>
          <w:szCs w:val="24"/>
        </w:rPr>
        <w:t>硬盘：HDD</w:t>
      </w:r>
      <w:r>
        <w:rPr>
          <w:rFonts w:hint="eastAsia" w:ascii="宋体" w:hAnsi="宋体" w:eastAsia="宋体" w:cs="宋体"/>
          <w:sz w:val="24"/>
          <w:szCs w:val="24"/>
          <w:lang w:val="en-US" w:eastAsia="zh-CN"/>
        </w:rPr>
        <w:t xml:space="preserve"> </w:t>
      </w:r>
      <w:r>
        <w:rPr>
          <w:rFonts w:ascii="宋体" w:hAnsi="宋体" w:eastAsia="宋体" w:cs="宋体"/>
          <w:sz w:val="24"/>
          <w:szCs w:val="24"/>
        </w:rPr>
        <w:t>2T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ascii="宋体" w:hAnsi="宋体" w:eastAsia="宋体" w:cs="宋体"/>
          <w:sz w:val="24"/>
          <w:szCs w:val="24"/>
        </w:rPr>
        <w:t>SSD硬盘128G*2</w:t>
      </w:r>
      <w:r>
        <w:rPr>
          <w:rFonts w:hint="eastAsia" w:ascii="宋体" w:hAnsi="宋体" w:eastAsia="宋体" w:cs="宋体"/>
          <w:sz w:val="24"/>
          <w:szCs w:val="24"/>
          <w:lang w:eastAsia="zh-CN"/>
        </w:rPr>
        <w:t>、</w:t>
      </w:r>
      <w:r>
        <w:rPr>
          <w:rFonts w:ascii="宋体" w:hAnsi="宋体" w:eastAsia="宋体" w:cs="宋体"/>
          <w:sz w:val="24"/>
          <w:szCs w:val="24"/>
        </w:rPr>
        <w:t>网口千兆电口</w:t>
      </w:r>
      <w:r>
        <w:rPr>
          <w:rFonts w:hint="eastAsia" w:ascii="宋体" w:hAnsi="宋体" w:eastAsia="宋体" w:cs="宋体"/>
          <w:sz w:val="24"/>
          <w:szCs w:val="24"/>
          <w:lang w:val="en-US" w:eastAsia="zh-CN"/>
        </w:rPr>
        <w:t>*</w:t>
      </w:r>
      <w:r>
        <w:rPr>
          <w:rFonts w:ascii="宋体" w:hAnsi="宋体" w:eastAsia="宋体" w:cs="宋体"/>
          <w:sz w:val="24"/>
          <w:szCs w:val="24"/>
        </w:rPr>
        <w:t>6</w:t>
      </w:r>
      <w:r>
        <w:rPr>
          <w:rFonts w:hint="eastAsia" w:ascii="宋体" w:hAnsi="宋体" w:eastAsia="宋体" w:cs="宋体"/>
          <w:sz w:val="24"/>
          <w:szCs w:val="24"/>
          <w:lang w:val="en-US" w:eastAsia="zh-CN"/>
        </w:rPr>
        <w:t>等</w:t>
      </w:r>
      <w:bookmarkStart w:id="6" w:name="_GoBack"/>
      <w:bookmarkEnd w:id="6"/>
      <w:r>
        <w:rPr>
          <w:rFonts w:hint="eastAsia" w:ascii="宋体" w:hAnsi="宋体" w:eastAsia="宋体" w:cs="宋体"/>
          <w:sz w:val="24"/>
          <w:szCs w:val="24"/>
          <w:lang w:val="en-US" w:eastAsia="zh-CN"/>
        </w:rPr>
        <w:t>相关要求及以上，</w:t>
      </w:r>
      <w:r>
        <w:rPr>
          <w:rFonts w:hint="eastAsia" w:ascii="宋体" w:hAnsi="宋体" w:cs="宋体"/>
          <w:bCs/>
          <w:sz w:val="24"/>
        </w:rPr>
        <w:t>实现</w:t>
      </w:r>
      <w:r>
        <w:rPr>
          <w:rFonts w:hint="eastAsia" w:ascii="宋体" w:hAnsi="宋体" w:cs="宋体"/>
          <w:bCs/>
          <w:sz w:val="24"/>
          <w:lang w:val="en-US" w:eastAsia="zh-CN"/>
        </w:rPr>
        <w:t>软硬件</w:t>
      </w:r>
      <w:r>
        <w:rPr>
          <w:rFonts w:hint="eastAsia" w:ascii="宋体" w:hAnsi="宋体" w:cs="宋体"/>
          <w:bCs/>
          <w:sz w:val="24"/>
        </w:rPr>
        <w:t>高效</w:t>
      </w:r>
      <w:r>
        <w:rPr>
          <w:rFonts w:hint="eastAsia" w:ascii="宋体" w:hAnsi="宋体" w:cs="宋体"/>
          <w:bCs/>
          <w:sz w:val="24"/>
          <w:lang w:val="en-US" w:eastAsia="zh-CN"/>
        </w:rPr>
        <w:t>匹配</w:t>
      </w:r>
      <w:r>
        <w:rPr>
          <w:rFonts w:hint="eastAsia" w:ascii="宋体" w:hAnsi="宋体" w:cs="宋体"/>
          <w:bCs/>
          <w:sz w:val="24"/>
        </w:rPr>
        <w:t>、安全存储。</w:t>
      </w:r>
    </w:p>
    <w:p w14:paraId="23FE03A5">
      <w:pPr>
        <w:pStyle w:val="9"/>
        <w:spacing w:line="500" w:lineRule="exact"/>
        <w:rPr>
          <w:rFonts w:hint="eastAsia" w:asciiTheme="minorEastAsia" w:hAnsiTheme="minorEastAsia" w:eastAsiaTheme="minorEastAsia"/>
          <w:b/>
          <w:sz w:val="24"/>
        </w:rPr>
      </w:pPr>
      <w:r>
        <w:rPr>
          <w:rFonts w:hint="eastAsia" w:asciiTheme="minorEastAsia" w:hAnsiTheme="minorEastAsia" w:eastAsiaTheme="minorEastAsia"/>
          <w:b/>
          <w:sz w:val="24"/>
        </w:rPr>
        <w:t>（</w:t>
      </w:r>
      <w:r>
        <w:rPr>
          <w:rFonts w:hint="eastAsia" w:asciiTheme="minorEastAsia" w:hAnsiTheme="minorEastAsia"/>
          <w:b/>
          <w:sz w:val="24"/>
        </w:rPr>
        <w:t>三</w:t>
      </w:r>
      <w:r>
        <w:rPr>
          <w:rFonts w:hint="eastAsia" w:asciiTheme="minorEastAsia" w:hAnsiTheme="minorEastAsia" w:eastAsiaTheme="minorEastAsia"/>
          <w:b/>
          <w:sz w:val="24"/>
        </w:rPr>
        <w:t>）项目验收要求</w:t>
      </w:r>
    </w:p>
    <w:p w14:paraId="62DE9A98">
      <w:pPr>
        <w:pStyle w:val="9"/>
        <w:spacing w:line="500" w:lineRule="exact"/>
        <w:ind w:firstLine="480" w:firstLineChars="200"/>
        <w:rPr>
          <w:rFonts w:hint="eastAsia" w:asciiTheme="minorEastAsia" w:hAnsiTheme="minorEastAsia" w:eastAsiaTheme="minorEastAsia"/>
          <w:sz w:val="24"/>
        </w:rPr>
      </w:pPr>
      <w:r>
        <w:rPr>
          <w:rFonts w:asciiTheme="minorEastAsia" w:hAnsiTheme="minorEastAsia" w:eastAsiaTheme="minorEastAsia"/>
          <w:sz w:val="24"/>
          <w:lang w:bidi="ar"/>
        </w:rPr>
        <w:t>中标供应商</w:t>
      </w:r>
      <w:r>
        <w:rPr>
          <w:rFonts w:hint="eastAsia" w:asciiTheme="minorEastAsia" w:hAnsiTheme="minorEastAsia" w:eastAsiaTheme="minorEastAsia"/>
          <w:sz w:val="24"/>
          <w:lang w:bidi="ar"/>
        </w:rPr>
        <w:t>应按照</w:t>
      </w:r>
      <w:r>
        <w:rPr>
          <w:rFonts w:hint="eastAsia" w:asciiTheme="minorEastAsia" w:hAnsiTheme="minorEastAsia"/>
          <w:sz w:val="24"/>
          <w:lang w:bidi="ar"/>
        </w:rPr>
        <w:t>采购</w:t>
      </w:r>
      <w:r>
        <w:rPr>
          <w:rFonts w:hint="eastAsia" w:asciiTheme="minorEastAsia" w:hAnsiTheme="minorEastAsia" w:eastAsiaTheme="minorEastAsia"/>
          <w:sz w:val="24"/>
          <w:lang w:bidi="ar"/>
        </w:rPr>
        <w:t>方的要求，如期将硬件、软件送达指定的使用单位和场地进行安装调试并培训有关人员。</w:t>
      </w:r>
    </w:p>
    <w:p w14:paraId="10DDA844">
      <w:pPr>
        <w:pStyle w:val="9"/>
        <w:spacing w:line="500" w:lineRule="exact"/>
        <w:ind w:firstLine="480" w:firstLineChars="200"/>
        <w:rPr>
          <w:rFonts w:hint="eastAsia" w:asciiTheme="minorEastAsia" w:hAnsiTheme="minorEastAsia" w:eastAsiaTheme="minorEastAsia"/>
          <w:sz w:val="24"/>
        </w:rPr>
      </w:pPr>
      <w:r>
        <w:rPr>
          <w:rFonts w:asciiTheme="minorEastAsia" w:hAnsiTheme="minorEastAsia" w:eastAsiaTheme="minorEastAsia"/>
          <w:sz w:val="24"/>
          <w:lang w:bidi="ar"/>
        </w:rPr>
        <w:t>中标供应商</w:t>
      </w:r>
      <w:r>
        <w:rPr>
          <w:rFonts w:hint="eastAsia" w:asciiTheme="minorEastAsia" w:hAnsiTheme="minorEastAsia" w:eastAsiaTheme="minorEastAsia"/>
          <w:sz w:val="24"/>
          <w:lang w:bidi="ar"/>
        </w:rPr>
        <w:t>完成全部硬件交货安装调试完毕并完成1个月试运行</w:t>
      </w:r>
      <w:r>
        <w:rPr>
          <w:rFonts w:hint="eastAsia" w:asciiTheme="minorEastAsia" w:hAnsiTheme="minorEastAsia"/>
          <w:sz w:val="24"/>
          <w:lang w:bidi="ar"/>
        </w:rPr>
        <w:t>后提供验收</w:t>
      </w:r>
      <w:r>
        <w:rPr>
          <w:rFonts w:hint="eastAsia" w:asciiTheme="minorEastAsia" w:hAnsiTheme="minorEastAsia" w:eastAsiaTheme="minorEastAsia"/>
          <w:sz w:val="24"/>
          <w:lang w:bidi="ar"/>
        </w:rPr>
        <w:t>报告，并提交有关产品文件材料，可向</w:t>
      </w:r>
      <w:r>
        <w:rPr>
          <w:rFonts w:hint="eastAsia" w:asciiTheme="minorEastAsia" w:hAnsiTheme="minorEastAsia"/>
          <w:sz w:val="24"/>
          <w:lang w:bidi="ar"/>
        </w:rPr>
        <w:t>采购</w:t>
      </w:r>
      <w:r>
        <w:rPr>
          <w:rFonts w:hint="eastAsia" w:asciiTheme="minorEastAsia" w:hAnsiTheme="minorEastAsia" w:eastAsiaTheme="minorEastAsia"/>
          <w:sz w:val="24"/>
          <w:lang w:bidi="ar"/>
        </w:rPr>
        <w:t>方书面申请验收付款。如无合理理由，采购人应接到</w:t>
      </w:r>
      <w:r>
        <w:rPr>
          <w:rFonts w:asciiTheme="minorEastAsia" w:hAnsiTheme="minorEastAsia" w:eastAsiaTheme="minorEastAsia"/>
          <w:sz w:val="24"/>
          <w:lang w:bidi="ar"/>
        </w:rPr>
        <w:t>中标</w:t>
      </w:r>
      <w:r>
        <w:rPr>
          <w:rFonts w:hint="eastAsia" w:asciiTheme="minorEastAsia" w:hAnsiTheme="minorEastAsia"/>
          <w:sz w:val="24"/>
          <w:lang w:bidi="ar"/>
        </w:rPr>
        <w:t>人</w:t>
      </w:r>
      <w:r>
        <w:rPr>
          <w:rFonts w:hint="eastAsia" w:asciiTheme="minorEastAsia" w:hAnsiTheme="minorEastAsia" w:eastAsiaTheme="minorEastAsia"/>
          <w:sz w:val="24"/>
          <w:lang w:bidi="ar"/>
        </w:rPr>
        <w:t>书面验收申请7个工作日内应组织本项目内容进行验收确认。</w:t>
      </w:r>
    </w:p>
    <w:p w14:paraId="228CF386">
      <w:pPr>
        <w:pStyle w:val="9"/>
        <w:spacing w:line="50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lang w:bidi="ar"/>
        </w:rPr>
        <w:t>验收标准按照国家、地区相关标准，招投标文件、合同条款具体执行。</w:t>
      </w:r>
    </w:p>
    <w:p w14:paraId="146725B6">
      <w:pPr>
        <w:pStyle w:val="9"/>
        <w:spacing w:line="500" w:lineRule="exact"/>
        <w:rPr>
          <w:rFonts w:hint="eastAsia" w:asciiTheme="minorEastAsia" w:hAnsiTheme="minorEastAsia" w:eastAsiaTheme="minorEastAsia"/>
          <w:b/>
          <w:bCs/>
          <w:sz w:val="24"/>
        </w:rPr>
      </w:pPr>
      <w:r>
        <w:rPr>
          <w:rFonts w:hint="eastAsia" w:asciiTheme="minorEastAsia" w:hAnsiTheme="minorEastAsia" w:eastAsiaTheme="minorEastAsia"/>
          <w:b/>
          <w:bCs/>
          <w:sz w:val="24"/>
        </w:rPr>
        <w:t>（</w:t>
      </w:r>
      <w:r>
        <w:rPr>
          <w:rFonts w:hint="eastAsia" w:asciiTheme="minorEastAsia" w:hAnsiTheme="minorEastAsia"/>
          <w:b/>
          <w:bCs/>
          <w:sz w:val="24"/>
        </w:rPr>
        <w:t>四</w:t>
      </w:r>
      <w:r>
        <w:rPr>
          <w:rFonts w:hint="eastAsia" w:asciiTheme="minorEastAsia" w:hAnsiTheme="minorEastAsia" w:eastAsiaTheme="minorEastAsia"/>
          <w:b/>
          <w:bCs/>
          <w:sz w:val="24"/>
        </w:rPr>
        <w:t>）售后服务要求</w:t>
      </w:r>
    </w:p>
    <w:p w14:paraId="541E7C46">
      <w:pPr>
        <w:pStyle w:val="9"/>
        <w:spacing w:line="50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1、系统</w:t>
      </w:r>
      <w:r>
        <w:rPr>
          <w:rFonts w:hint="eastAsia" w:asciiTheme="minorEastAsia" w:hAnsiTheme="minorEastAsia"/>
          <w:sz w:val="24"/>
        </w:rPr>
        <w:t>及一体机</w:t>
      </w:r>
      <w:r>
        <w:rPr>
          <w:rFonts w:hint="eastAsia" w:asciiTheme="minorEastAsia" w:hAnsiTheme="minorEastAsia" w:eastAsiaTheme="minorEastAsia"/>
          <w:sz w:val="24"/>
        </w:rPr>
        <w:t>质保期：验收合格之日起一年。</w:t>
      </w:r>
    </w:p>
    <w:p w14:paraId="30927C5F">
      <w:pPr>
        <w:pStyle w:val="9"/>
        <w:spacing w:line="500" w:lineRule="exact"/>
        <w:ind w:firstLine="480" w:firstLineChars="200"/>
        <w:rPr>
          <w:rFonts w:hint="eastAsia" w:asciiTheme="minorEastAsia" w:hAnsiTheme="minorEastAsia" w:eastAsiaTheme="minorEastAsia"/>
          <w:sz w:val="24"/>
        </w:rPr>
      </w:pPr>
      <w:r>
        <w:rPr>
          <w:rFonts w:hint="eastAsia" w:asciiTheme="minorEastAsia" w:hAnsiTheme="minorEastAsia"/>
          <w:sz w:val="24"/>
        </w:rPr>
        <w:t>2</w:t>
      </w:r>
      <w:r>
        <w:rPr>
          <w:rFonts w:hint="eastAsia" w:asciiTheme="minorEastAsia" w:hAnsiTheme="minorEastAsia" w:eastAsiaTheme="minorEastAsia"/>
          <w:sz w:val="24"/>
        </w:rPr>
        <w:t>、维护范围及内容：为保障系统稳定运行，支持核对数据的完整和准确。包括但不限于由于系统本身运行稳定性维护以及数据导入时造成的数据格式问题需要在出现问题时进行数据的优化和维护等。</w:t>
      </w:r>
    </w:p>
    <w:p w14:paraId="7EBA1469">
      <w:pPr>
        <w:pStyle w:val="9"/>
        <w:spacing w:line="500" w:lineRule="exact"/>
        <w:ind w:firstLine="480" w:firstLineChars="200"/>
        <w:rPr>
          <w:rFonts w:hint="eastAsia" w:asciiTheme="minorEastAsia" w:hAnsiTheme="minorEastAsia" w:eastAsiaTheme="minorEastAsia"/>
          <w:sz w:val="24"/>
        </w:rPr>
      </w:pPr>
      <w:r>
        <w:rPr>
          <w:rFonts w:hint="eastAsia" w:asciiTheme="minorEastAsia" w:hAnsiTheme="minorEastAsia"/>
          <w:sz w:val="24"/>
        </w:rPr>
        <w:t>3</w:t>
      </w:r>
      <w:r>
        <w:rPr>
          <w:rFonts w:hint="eastAsia" w:asciiTheme="minorEastAsia" w:hAnsiTheme="minorEastAsia" w:eastAsiaTheme="minorEastAsia"/>
          <w:sz w:val="24"/>
        </w:rPr>
        <w:t>、应急处理程序：需提供现场应急处理、备份与恢复策略、应急措施、报告与总结、责任与奖惩。</w:t>
      </w:r>
    </w:p>
    <w:p w14:paraId="43AE006C">
      <w:pPr>
        <w:pStyle w:val="9"/>
        <w:spacing w:line="500" w:lineRule="exact"/>
        <w:ind w:firstLine="480" w:firstLineChars="200"/>
        <w:rPr>
          <w:rFonts w:hint="eastAsia" w:asciiTheme="minorEastAsia" w:hAnsiTheme="minorEastAsia" w:eastAsiaTheme="minorEastAsia"/>
          <w:sz w:val="24"/>
        </w:rPr>
      </w:pPr>
      <w:r>
        <w:rPr>
          <w:rFonts w:hint="eastAsia" w:asciiTheme="minorEastAsia" w:hAnsiTheme="minorEastAsia"/>
          <w:sz w:val="24"/>
        </w:rPr>
        <w:t>4</w:t>
      </w:r>
      <w:r>
        <w:rPr>
          <w:rFonts w:hint="eastAsia" w:asciiTheme="minorEastAsia" w:hAnsiTheme="minorEastAsia" w:eastAsiaTheme="minorEastAsia"/>
          <w:sz w:val="24"/>
        </w:rPr>
        <w:t>、保障措施：中标人应根据不同情况设定不同的故障级别，并就不同故障级别提出对应的故障响应方案。</w:t>
      </w:r>
    </w:p>
    <w:p w14:paraId="055307E1">
      <w:pPr>
        <w:pStyle w:val="9"/>
        <w:spacing w:line="500" w:lineRule="exact"/>
        <w:rPr>
          <w:rFonts w:hint="eastAsia" w:asciiTheme="minorEastAsia" w:hAnsiTheme="minorEastAsia" w:eastAsiaTheme="minorEastAsia"/>
          <w:b/>
          <w:sz w:val="24"/>
        </w:rPr>
      </w:pPr>
      <w:r>
        <w:rPr>
          <w:rFonts w:hint="eastAsia" w:asciiTheme="minorEastAsia" w:hAnsiTheme="minorEastAsia" w:eastAsiaTheme="minorEastAsia"/>
          <w:b/>
          <w:sz w:val="24"/>
        </w:rPr>
        <w:t>（</w:t>
      </w:r>
      <w:r>
        <w:rPr>
          <w:rFonts w:hint="eastAsia" w:asciiTheme="minorEastAsia" w:hAnsiTheme="minorEastAsia"/>
          <w:b/>
          <w:sz w:val="24"/>
        </w:rPr>
        <w:t>六</w:t>
      </w:r>
      <w:r>
        <w:rPr>
          <w:rFonts w:hint="eastAsia" w:asciiTheme="minorEastAsia" w:hAnsiTheme="minorEastAsia" w:eastAsiaTheme="minorEastAsia"/>
          <w:b/>
          <w:sz w:val="24"/>
        </w:rPr>
        <w:t>）</w:t>
      </w:r>
      <w:r>
        <w:rPr>
          <w:rFonts w:hint="eastAsia" w:asciiTheme="minorEastAsia" w:hAnsiTheme="minorEastAsia"/>
          <w:b/>
          <w:sz w:val="24"/>
        </w:rPr>
        <w:t>、</w:t>
      </w:r>
      <w:r>
        <w:rPr>
          <w:rFonts w:hint="eastAsia" w:asciiTheme="minorEastAsia" w:hAnsiTheme="minorEastAsia" w:eastAsiaTheme="minorEastAsia"/>
          <w:b/>
          <w:sz w:val="24"/>
        </w:rPr>
        <w:t>付款方式</w:t>
      </w:r>
    </w:p>
    <w:p w14:paraId="5D61F1A4">
      <w:pPr>
        <w:pStyle w:val="9"/>
        <w:spacing w:line="500" w:lineRule="exact"/>
        <w:ind w:firstLine="480" w:firstLineChars="200"/>
        <w:rPr>
          <w:rFonts w:hint="eastAsia" w:asciiTheme="minorEastAsia" w:hAnsiTheme="minorEastAsia" w:eastAsiaTheme="minorEastAsia"/>
          <w:b/>
          <w:sz w:val="24"/>
        </w:rPr>
      </w:pPr>
      <w:r>
        <w:rPr>
          <w:rFonts w:hint="eastAsia" w:asciiTheme="minorEastAsia" w:hAnsiTheme="minorEastAsia"/>
          <w:sz w:val="24"/>
        </w:rPr>
        <w:t>（1）</w:t>
      </w:r>
      <w:r>
        <w:rPr>
          <w:rFonts w:hint="eastAsia" w:asciiTheme="minorEastAsia" w:hAnsiTheme="minorEastAsia" w:eastAsiaTheme="minorEastAsia"/>
          <w:sz w:val="24"/>
        </w:rPr>
        <w:t>合同签订后并收到</w:t>
      </w:r>
      <w:r>
        <w:rPr>
          <w:rFonts w:hint="eastAsia" w:asciiTheme="minorEastAsia" w:hAnsiTheme="minorEastAsia"/>
          <w:sz w:val="24"/>
        </w:rPr>
        <w:t>正规有效</w:t>
      </w:r>
      <w:r>
        <w:rPr>
          <w:rFonts w:hint="eastAsia" w:asciiTheme="minorEastAsia" w:hAnsiTheme="minorEastAsia" w:eastAsiaTheme="minorEastAsia"/>
          <w:sz w:val="24"/>
        </w:rPr>
        <w:t>发票后</w:t>
      </w:r>
      <w:r>
        <w:rPr>
          <w:rFonts w:hint="eastAsia" w:asciiTheme="minorEastAsia" w:hAnsiTheme="minorEastAsia"/>
          <w:sz w:val="24"/>
        </w:rPr>
        <w:t>十个工作日</w:t>
      </w:r>
      <w:r>
        <w:rPr>
          <w:rFonts w:hint="eastAsia" w:asciiTheme="minorEastAsia" w:hAnsiTheme="minorEastAsia" w:eastAsiaTheme="minorEastAsia"/>
          <w:sz w:val="24"/>
        </w:rPr>
        <w:t>内支付</w:t>
      </w:r>
      <w:r>
        <w:rPr>
          <w:rFonts w:hint="eastAsia" w:asciiTheme="minorEastAsia" w:hAnsiTheme="minorEastAsia"/>
          <w:sz w:val="24"/>
        </w:rPr>
        <w:t>合同总额的3</w:t>
      </w:r>
      <w:r>
        <w:rPr>
          <w:rFonts w:hint="eastAsia" w:asciiTheme="minorEastAsia" w:hAnsiTheme="minorEastAsia" w:eastAsiaTheme="minorEastAsia"/>
          <w:sz w:val="24"/>
        </w:rPr>
        <w:t>0%</w:t>
      </w:r>
      <w:r>
        <w:rPr>
          <w:rFonts w:hint="eastAsia" w:asciiTheme="minorEastAsia" w:hAnsiTheme="minorEastAsia"/>
          <w:sz w:val="24"/>
        </w:rPr>
        <w:t>预付款。（2）系统上线后并收到正规有效</w:t>
      </w:r>
      <w:r>
        <w:rPr>
          <w:rFonts w:hint="eastAsia" w:asciiTheme="minorEastAsia" w:hAnsiTheme="minorEastAsia" w:eastAsiaTheme="minorEastAsia"/>
          <w:sz w:val="24"/>
        </w:rPr>
        <w:t>发票</w:t>
      </w:r>
      <w:r>
        <w:rPr>
          <w:rFonts w:hint="eastAsia" w:asciiTheme="minorEastAsia" w:hAnsiTheme="minorEastAsia"/>
          <w:sz w:val="24"/>
        </w:rPr>
        <w:t>的十个工作日内支付合同总额的20%。（3）项目验收合格后并收到正规有效</w:t>
      </w:r>
      <w:r>
        <w:rPr>
          <w:rFonts w:hint="eastAsia" w:asciiTheme="minorEastAsia" w:hAnsiTheme="minorEastAsia" w:eastAsiaTheme="minorEastAsia"/>
          <w:sz w:val="24"/>
        </w:rPr>
        <w:t>发票</w:t>
      </w:r>
      <w:r>
        <w:rPr>
          <w:rFonts w:hint="eastAsia" w:asciiTheme="minorEastAsia" w:hAnsiTheme="minorEastAsia"/>
          <w:sz w:val="24"/>
        </w:rPr>
        <w:t>的十个工作日内支付合同剩余尾款。</w:t>
      </w:r>
    </w:p>
    <w:p w14:paraId="1180158B">
      <w:pPr>
        <w:pStyle w:val="9"/>
        <w:spacing w:line="500" w:lineRule="exact"/>
        <w:rPr>
          <w:rFonts w:hint="eastAsia" w:asciiTheme="minorEastAsia" w:hAnsiTheme="minorEastAsia" w:eastAsiaTheme="minorEastAsia"/>
          <w:b/>
          <w:sz w:val="24"/>
        </w:rPr>
      </w:pPr>
      <w:r>
        <w:rPr>
          <w:rFonts w:hint="eastAsia" w:asciiTheme="minorEastAsia" w:hAnsiTheme="minorEastAsia"/>
          <w:b/>
          <w:sz w:val="24"/>
        </w:rPr>
        <w:t>（七）</w:t>
      </w:r>
      <w:r>
        <w:rPr>
          <w:rFonts w:hint="eastAsia" w:asciiTheme="minorEastAsia" w:hAnsiTheme="minorEastAsia" w:eastAsiaTheme="minorEastAsia"/>
          <w:b/>
          <w:sz w:val="24"/>
        </w:rPr>
        <w:t>、报价要求及付款方式</w:t>
      </w:r>
    </w:p>
    <w:p w14:paraId="79C73DB9">
      <w:pPr>
        <w:pStyle w:val="9"/>
        <w:spacing w:line="500" w:lineRule="exact"/>
        <w:ind w:firstLine="480" w:firstLineChars="200"/>
        <w:rPr>
          <w:rFonts w:hint="eastAsia" w:asciiTheme="minorEastAsia" w:hAnsiTheme="minorEastAsia" w:eastAsiaTheme="minorEastAsia"/>
          <w:sz w:val="24"/>
        </w:rPr>
      </w:pPr>
      <w:r>
        <w:rPr>
          <w:rFonts w:asciiTheme="minorEastAsia" w:hAnsiTheme="minorEastAsia" w:eastAsiaTheme="minorEastAsia"/>
          <w:sz w:val="24"/>
        </w:rPr>
        <w:t>响应</w:t>
      </w:r>
      <w:r>
        <w:rPr>
          <w:rFonts w:hint="eastAsia" w:asciiTheme="minorEastAsia" w:hAnsiTheme="minorEastAsia" w:eastAsiaTheme="minorEastAsia"/>
          <w:sz w:val="24"/>
        </w:rPr>
        <w:t>总报价为软件平台研发、安装到采购人指定地点，并完成调试和试运行后并经采购人验收合格并交货完毕所有可能发生的费用，包括软件研发、测试、产品制造、运输、采购保管、安装及安装附件、产品检验检测、培训、税收、装卸及搬运、保险、运行维护、系统集成费用、调试费、售后服务、数据采集及中标服务费等费用。</w:t>
      </w:r>
    </w:p>
    <w:p w14:paraId="6B97E64E">
      <w:pPr>
        <w:pStyle w:val="9"/>
        <w:spacing w:line="500" w:lineRule="exact"/>
        <w:ind w:firstLine="480" w:firstLineChars="200"/>
        <w:rPr>
          <w:rFonts w:hint="eastAsia" w:asciiTheme="minorEastAsia" w:hAnsiTheme="minorEastAsia" w:eastAsiaTheme="minorEastAsia"/>
          <w:sz w:val="24"/>
        </w:rPr>
      </w:pPr>
    </w:p>
    <w:p w14:paraId="3D6B212B">
      <w:pPr>
        <w:pStyle w:val="9"/>
        <w:spacing w:line="50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（技术参数详见下页）</w:t>
      </w:r>
    </w:p>
    <w:p w14:paraId="51E43893">
      <w:pPr>
        <w:jc w:val="left"/>
        <w:rPr>
          <w:rFonts w:hint="eastAsia" w:asciiTheme="minorEastAsia" w:hAnsiTheme="minorEastAsia"/>
        </w:rPr>
        <w:sectPr>
          <w:pgSz w:w="11906" w:h="16838"/>
          <w:pgMar w:top="1440" w:right="1800" w:bottom="1440" w:left="1800" w:header="851" w:footer="992" w:gutter="0"/>
          <w:cols w:space="425" w:num="1"/>
          <w:docGrid w:type="lines" w:linePitch="312" w:charSpace="0"/>
        </w:sectPr>
      </w:pPr>
      <w:r>
        <w:rPr>
          <w:rFonts w:asciiTheme="minorEastAsia" w:hAnsiTheme="minorEastAsia"/>
        </w:rPr>
        <w:br w:type="page"/>
      </w:r>
    </w:p>
    <w:p w14:paraId="3B5B43F5">
      <w:pPr>
        <w:pStyle w:val="2"/>
        <w:spacing w:before="0" w:line="240" w:lineRule="auto"/>
        <w:rPr>
          <w:rFonts w:hint="eastAsia" w:asciiTheme="minorEastAsia" w:hAnsiTheme="minorEastAsia"/>
          <w:sz w:val="36"/>
          <w:szCs w:val="36"/>
        </w:rPr>
      </w:pPr>
      <w:bookmarkStart w:id="3" w:name="_Toc201843569"/>
      <w:r>
        <w:rPr>
          <w:rFonts w:hint="eastAsia" w:asciiTheme="minorEastAsia" w:hAnsiTheme="minorEastAsia"/>
          <w:sz w:val="36"/>
          <w:szCs w:val="36"/>
        </w:rPr>
        <w:t>三、技术参数</w:t>
      </w:r>
      <w:bookmarkEnd w:id="3"/>
    </w:p>
    <w:tbl>
      <w:tblPr>
        <w:tblStyle w:val="5"/>
        <w:tblW w:w="8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688"/>
        <w:gridCol w:w="6831"/>
      </w:tblGrid>
      <w:tr w14:paraId="31689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1688" w:type="dxa"/>
            <w:shd w:val="clear" w:color="auto" w:fill="auto"/>
            <w:tcMar>
              <w:left w:w="108" w:type="dxa"/>
              <w:right w:w="108" w:type="dxa"/>
            </w:tcMar>
            <w:vAlign w:val="center"/>
          </w:tcPr>
          <w:p w14:paraId="374ADEB4">
            <w:pPr>
              <w:widowControl/>
              <w:spacing w:line="360" w:lineRule="auto"/>
              <w:jc w:val="center"/>
              <w:rPr>
                <w:rFonts w:hint="eastAsia" w:asciiTheme="minorEastAsia" w:hAnsiTheme="minorEastAsia"/>
                <w:b/>
                <w:color w:val="000000"/>
              </w:rPr>
            </w:pPr>
            <w:r>
              <w:rPr>
                <w:rFonts w:hint="eastAsia" w:cs="宋体" w:asciiTheme="minorEastAsia" w:hAnsiTheme="minorEastAsia"/>
                <w:b/>
                <w:bCs/>
                <w:color w:val="000000"/>
                <w:kern w:val="0"/>
                <w:lang w:bidi="ar"/>
              </w:rPr>
              <w:t>名称</w:t>
            </w:r>
          </w:p>
        </w:tc>
        <w:tc>
          <w:tcPr>
            <w:tcW w:w="6831" w:type="dxa"/>
            <w:shd w:val="clear" w:color="auto" w:fill="auto"/>
            <w:tcMar>
              <w:left w:w="108" w:type="dxa"/>
              <w:right w:w="108" w:type="dxa"/>
            </w:tcMar>
            <w:vAlign w:val="center"/>
          </w:tcPr>
          <w:p w14:paraId="4E4E6AEB">
            <w:pPr>
              <w:widowControl/>
              <w:spacing w:line="360" w:lineRule="auto"/>
              <w:jc w:val="center"/>
              <w:rPr>
                <w:rFonts w:hint="eastAsia" w:asciiTheme="minorEastAsia" w:hAnsiTheme="minorEastAsia"/>
                <w:b/>
                <w:color w:val="000000"/>
              </w:rPr>
            </w:pPr>
            <w:r>
              <w:rPr>
                <w:rFonts w:hint="eastAsia" w:cs="宋体" w:asciiTheme="minorEastAsia" w:hAnsiTheme="minorEastAsia"/>
                <w:b/>
                <w:bCs/>
                <w:color w:val="000000"/>
                <w:kern w:val="0"/>
                <w:lang w:bidi="ar"/>
              </w:rPr>
              <w:t>技术参数及要求</w:t>
            </w:r>
          </w:p>
        </w:tc>
      </w:tr>
      <w:tr w14:paraId="673F7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1688" w:type="dxa"/>
            <w:shd w:val="clear" w:color="auto" w:fill="auto"/>
            <w:tcMar>
              <w:left w:w="108" w:type="dxa"/>
              <w:right w:w="108" w:type="dxa"/>
            </w:tcMar>
            <w:vAlign w:val="center"/>
          </w:tcPr>
          <w:p w14:paraId="6F28C108">
            <w:pPr>
              <w:spacing w:line="360" w:lineRule="auto"/>
              <w:rPr>
                <w:rFonts w:hint="eastAsia" w:asciiTheme="minorEastAsia" w:hAnsiTheme="minorEastAsia"/>
              </w:rPr>
            </w:pPr>
            <w:r>
              <w:rPr>
                <w:rFonts w:hint="eastAsia" w:cs="宋体" w:asciiTheme="minorEastAsia" w:hAnsiTheme="minorEastAsia"/>
                <w:bCs/>
                <w:color w:val="000000"/>
                <w:kern w:val="0"/>
                <w:lang w:bidi="ar"/>
              </w:rPr>
              <w:t>硬件规格及性能</w:t>
            </w:r>
          </w:p>
        </w:tc>
        <w:tc>
          <w:tcPr>
            <w:tcW w:w="6831" w:type="dxa"/>
            <w:shd w:val="clear" w:color="auto" w:fill="auto"/>
            <w:tcMar>
              <w:left w:w="108" w:type="dxa"/>
              <w:right w:w="108" w:type="dxa"/>
            </w:tcMar>
            <w:vAlign w:val="center"/>
          </w:tcPr>
          <w:p w14:paraId="09824FE3">
            <w:pPr>
              <w:widowControl/>
              <w:spacing w:line="360" w:lineRule="auto"/>
              <w:rPr>
                <w:rFonts w:hint="eastAsia" w:cs="宋体" w:asciiTheme="minorEastAsia" w:hAnsiTheme="minorEastAsia" w:eastAsiaTheme="minorEastAsia"/>
                <w:bCs/>
                <w:color w:val="000000"/>
                <w:kern w:val="0"/>
                <w:szCs w:val="22"/>
                <w:lang w:bidi="ar"/>
              </w:rPr>
            </w:pPr>
            <w:r>
              <w:rPr>
                <w:rFonts w:hint="eastAsia" w:cs="宋体" w:asciiTheme="minorEastAsia" w:hAnsiTheme="minorEastAsia"/>
                <w:bCs/>
                <w:color w:val="000000"/>
                <w:kern w:val="0"/>
                <w:lang w:bidi="ar"/>
              </w:rPr>
              <w:t>采用软硬件一体化系统，安全操作系统，内嵌数据库，用户无需另外安装操作系统及数据库管理系统。性能指标：峰值事件处理能力12000条语句/秒，日志存储不低于16亿条。</w:t>
            </w:r>
          </w:p>
        </w:tc>
      </w:tr>
      <w:tr w14:paraId="6F907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88" w:type="dxa"/>
            <w:vMerge w:val="restart"/>
            <w:shd w:val="clear" w:color="auto" w:fill="auto"/>
            <w:tcMar>
              <w:left w:w="108" w:type="dxa"/>
              <w:right w:w="108" w:type="dxa"/>
            </w:tcMar>
            <w:vAlign w:val="center"/>
          </w:tcPr>
          <w:p w14:paraId="085AE131">
            <w:pPr>
              <w:spacing w:line="360" w:lineRule="auto"/>
              <w:jc w:val="left"/>
              <w:rPr>
                <w:rFonts w:hint="eastAsia" w:cs="lucida Grande" w:asciiTheme="minorEastAsia" w:hAnsiTheme="minorEastAsia"/>
                <w:b/>
                <w:color w:val="000000"/>
              </w:rPr>
            </w:pPr>
            <w:r>
              <w:rPr>
                <w:rFonts w:hint="eastAsia" w:cs="宋体" w:asciiTheme="minorEastAsia" w:hAnsiTheme="minorEastAsia"/>
                <w:b/>
                <w:color w:val="000000"/>
                <w:kern w:val="0"/>
                <w:lang w:bidi="ar"/>
              </w:rPr>
              <w:t>产品功能要求</w:t>
            </w:r>
          </w:p>
        </w:tc>
        <w:tc>
          <w:tcPr>
            <w:tcW w:w="6831" w:type="dxa"/>
            <w:shd w:val="clear" w:color="auto" w:fill="auto"/>
            <w:tcMar>
              <w:left w:w="108" w:type="dxa"/>
              <w:right w:w="108" w:type="dxa"/>
            </w:tcMar>
            <w:vAlign w:val="center"/>
          </w:tcPr>
          <w:p w14:paraId="217DBB8A">
            <w:pPr>
              <w:spacing w:line="360" w:lineRule="auto"/>
              <w:rPr>
                <w:rFonts w:hint="eastAsia" w:cs="宋体" w:asciiTheme="minorEastAsia" w:hAnsiTheme="minorEastAsia"/>
                <w:bCs/>
                <w:color w:val="FF0000"/>
                <w:kern w:val="0"/>
              </w:rPr>
            </w:pPr>
            <w:r>
              <w:rPr>
                <w:rFonts w:hint="eastAsia" w:cs="宋体" w:asciiTheme="minorEastAsia" w:hAnsiTheme="minorEastAsia"/>
                <w:bCs/>
                <w:kern w:val="0"/>
              </w:rPr>
              <w:t>系统包括审计引擎及管理后台软件、策略管理、告警管理、权限管理、系统日志、系统配置等功能，审计数据统一存储、查询、分析、统计。</w:t>
            </w:r>
          </w:p>
        </w:tc>
      </w:tr>
      <w:tr w14:paraId="012D3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88" w:type="dxa"/>
            <w:vMerge w:val="continue"/>
            <w:shd w:val="clear" w:color="auto" w:fill="auto"/>
            <w:tcMar>
              <w:left w:w="108" w:type="dxa"/>
              <w:right w:w="108" w:type="dxa"/>
            </w:tcMar>
            <w:vAlign w:val="center"/>
          </w:tcPr>
          <w:p w14:paraId="13A9E636">
            <w:pPr>
              <w:spacing w:line="360" w:lineRule="auto"/>
              <w:rPr>
                <w:rFonts w:hint="eastAsia" w:asciiTheme="minorEastAsia" w:hAnsiTheme="minorEastAsia"/>
              </w:rPr>
            </w:pPr>
          </w:p>
        </w:tc>
        <w:tc>
          <w:tcPr>
            <w:tcW w:w="6831" w:type="dxa"/>
            <w:shd w:val="clear" w:color="auto" w:fill="auto"/>
            <w:tcMar>
              <w:left w:w="108" w:type="dxa"/>
              <w:right w:w="108" w:type="dxa"/>
            </w:tcMar>
            <w:vAlign w:val="center"/>
          </w:tcPr>
          <w:p w14:paraId="77F15A97">
            <w:pPr>
              <w:widowControl/>
              <w:spacing w:line="360" w:lineRule="auto"/>
              <w:rPr>
                <w:rFonts w:hint="eastAsia" w:cs="宋体" w:asciiTheme="minorEastAsia" w:hAnsiTheme="minorEastAsia"/>
                <w:bCs/>
                <w:kern w:val="0"/>
              </w:rPr>
            </w:pPr>
            <w:r>
              <w:rPr>
                <w:rFonts w:hint="eastAsia" w:cs="宋体" w:asciiTheme="minorEastAsia" w:hAnsiTheme="minorEastAsia"/>
                <w:bCs/>
                <w:kern w:val="0"/>
              </w:rPr>
              <w:t>多级存储架构，系统和业务数据分离，实现高效、安全存储；</w:t>
            </w:r>
          </w:p>
        </w:tc>
      </w:tr>
      <w:tr w14:paraId="77546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88" w:type="dxa"/>
            <w:vMerge w:val="continue"/>
            <w:shd w:val="clear" w:color="auto" w:fill="auto"/>
            <w:tcMar>
              <w:left w:w="108" w:type="dxa"/>
              <w:right w:w="108" w:type="dxa"/>
            </w:tcMar>
            <w:vAlign w:val="center"/>
          </w:tcPr>
          <w:p w14:paraId="3F827EAE">
            <w:pPr>
              <w:spacing w:line="360" w:lineRule="auto"/>
              <w:rPr>
                <w:rFonts w:hint="eastAsia" w:asciiTheme="minorEastAsia" w:hAnsiTheme="minorEastAsia"/>
              </w:rPr>
            </w:pPr>
          </w:p>
        </w:tc>
        <w:tc>
          <w:tcPr>
            <w:tcW w:w="6831" w:type="dxa"/>
            <w:shd w:val="clear" w:color="auto" w:fill="auto"/>
            <w:tcMar>
              <w:left w:w="108" w:type="dxa"/>
              <w:right w:w="108" w:type="dxa"/>
            </w:tcMar>
            <w:vAlign w:val="center"/>
          </w:tcPr>
          <w:p w14:paraId="0C42BCDF">
            <w:pPr>
              <w:widowControl/>
              <w:spacing w:line="360" w:lineRule="auto"/>
              <w:rPr>
                <w:rFonts w:hint="eastAsia" w:cs="宋体" w:asciiTheme="minorEastAsia" w:hAnsiTheme="minorEastAsia"/>
                <w:bCs/>
                <w:color w:val="000000"/>
                <w:kern w:val="0"/>
              </w:rPr>
            </w:pPr>
            <w:r>
              <w:rPr>
                <w:rFonts w:hint="eastAsia" w:cs="宋体" w:asciiTheme="minorEastAsia" w:hAnsiTheme="minorEastAsia"/>
                <w:bCs/>
                <w:color w:val="000000"/>
                <w:kern w:val="0"/>
              </w:rPr>
              <w:t>系统无需在数据库服务器上安装任何插件；旁路部署；对系统零影响；</w:t>
            </w:r>
          </w:p>
        </w:tc>
      </w:tr>
      <w:tr w14:paraId="75DFB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88" w:type="dxa"/>
            <w:vMerge w:val="continue"/>
            <w:shd w:val="clear" w:color="auto" w:fill="auto"/>
            <w:tcMar>
              <w:left w:w="108" w:type="dxa"/>
              <w:right w:w="108" w:type="dxa"/>
            </w:tcMar>
            <w:vAlign w:val="center"/>
          </w:tcPr>
          <w:p w14:paraId="7BD6B6F8">
            <w:pPr>
              <w:spacing w:line="360" w:lineRule="auto"/>
              <w:rPr>
                <w:rFonts w:hint="eastAsia" w:asciiTheme="minorEastAsia" w:hAnsiTheme="minorEastAsia"/>
              </w:rPr>
            </w:pPr>
          </w:p>
        </w:tc>
        <w:tc>
          <w:tcPr>
            <w:tcW w:w="6831" w:type="dxa"/>
            <w:shd w:val="clear" w:color="auto" w:fill="auto"/>
            <w:tcMar>
              <w:left w:w="108" w:type="dxa"/>
              <w:right w:w="108" w:type="dxa"/>
            </w:tcMar>
            <w:vAlign w:val="center"/>
          </w:tcPr>
          <w:p w14:paraId="773636C3">
            <w:pPr>
              <w:widowControl/>
              <w:spacing w:line="360" w:lineRule="auto"/>
              <w:rPr>
                <w:rFonts w:hint="eastAsia" w:cs="宋体" w:asciiTheme="minorEastAsia" w:hAnsiTheme="minorEastAsia"/>
                <w:bCs/>
                <w:color w:val="000000"/>
                <w:kern w:val="0"/>
              </w:rPr>
            </w:pPr>
            <w:r>
              <w:rPr>
                <w:rFonts w:hint="eastAsia" w:cs="宋体" w:asciiTheme="minorEastAsia" w:hAnsiTheme="minorEastAsia"/>
                <w:bCs/>
                <w:color w:val="000000"/>
                <w:kern w:val="0"/>
              </w:rPr>
              <w:t>支持主流数据库类型：Oracle、SQL-Server、DB2、Informix、Sybase、MySQL、PostgreSQL、Caché、IRIS，Ensemble，国产数据库如人大金仓、达梦、神州通用等；</w:t>
            </w:r>
          </w:p>
        </w:tc>
      </w:tr>
      <w:tr w14:paraId="7CCCA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88" w:type="dxa"/>
            <w:vMerge w:val="continue"/>
            <w:shd w:val="clear" w:color="auto" w:fill="auto"/>
            <w:tcMar>
              <w:left w:w="108" w:type="dxa"/>
              <w:right w:w="108" w:type="dxa"/>
            </w:tcMar>
            <w:vAlign w:val="center"/>
          </w:tcPr>
          <w:p w14:paraId="232D8214">
            <w:pPr>
              <w:spacing w:line="360" w:lineRule="auto"/>
              <w:rPr>
                <w:rFonts w:hint="eastAsia" w:asciiTheme="minorEastAsia" w:hAnsiTheme="minorEastAsia"/>
              </w:rPr>
            </w:pPr>
          </w:p>
        </w:tc>
        <w:tc>
          <w:tcPr>
            <w:tcW w:w="6831" w:type="dxa"/>
            <w:shd w:val="clear" w:color="auto" w:fill="auto"/>
            <w:tcMar>
              <w:left w:w="108" w:type="dxa"/>
              <w:right w:w="108" w:type="dxa"/>
            </w:tcMar>
            <w:vAlign w:val="center"/>
          </w:tcPr>
          <w:p w14:paraId="23E3FF7A">
            <w:pPr>
              <w:widowControl/>
              <w:spacing w:line="360" w:lineRule="auto"/>
              <w:rPr>
                <w:rFonts w:hint="eastAsia" w:cs="宋体" w:asciiTheme="minorEastAsia" w:hAnsiTheme="minorEastAsia"/>
                <w:bCs/>
                <w:color w:val="000000"/>
                <w:kern w:val="0"/>
              </w:rPr>
            </w:pPr>
            <w:r>
              <w:rPr>
                <w:rFonts w:hint="eastAsia" w:cs="宋体" w:asciiTheme="minorEastAsia" w:hAnsiTheme="minorEastAsia"/>
                <w:szCs w:val="21"/>
              </w:rPr>
              <w:t>▲</w:t>
            </w:r>
            <w:r>
              <w:rPr>
                <w:rFonts w:hint="eastAsia" w:cs="宋体" w:asciiTheme="minorEastAsia" w:hAnsiTheme="minorEastAsia"/>
                <w:bCs/>
                <w:color w:val="000000"/>
                <w:kern w:val="0"/>
              </w:rPr>
              <w:t>系统支持卫宁、杭创、键讯、金蝶慧通、用友、中联、阳光用药、天健、厦门智业、科进、中天、天网、方正、东华、金仕达、键讯、陕西医星、长城、广州力锦、深圳坐标等HIS中间件审计。（提供截图并加盖厂商公章）</w:t>
            </w:r>
          </w:p>
        </w:tc>
      </w:tr>
      <w:tr w14:paraId="617E3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88" w:type="dxa"/>
            <w:vMerge w:val="continue"/>
            <w:shd w:val="clear" w:color="auto" w:fill="auto"/>
            <w:tcMar>
              <w:left w:w="108" w:type="dxa"/>
              <w:right w:w="108" w:type="dxa"/>
            </w:tcMar>
            <w:vAlign w:val="center"/>
          </w:tcPr>
          <w:p w14:paraId="52171CB8">
            <w:pPr>
              <w:spacing w:line="360" w:lineRule="auto"/>
              <w:rPr>
                <w:rFonts w:hint="eastAsia" w:asciiTheme="minorEastAsia" w:hAnsiTheme="minorEastAsia"/>
              </w:rPr>
            </w:pPr>
          </w:p>
        </w:tc>
        <w:tc>
          <w:tcPr>
            <w:tcW w:w="6831" w:type="dxa"/>
            <w:shd w:val="clear" w:color="auto" w:fill="auto"/>
            <w:tcMar>
              <w:left w:w="108" w:type="dxa"/>
              <w:right w:w="108" w:type="dxa"/>
            </w:tcMar>
            <w:vAlign w:val="center"/>
          </w:tcPr>
          <w:p w14:paraId="5BB59E14">
            <w:pPr>
              <w:widowControl/>
              <w:spacing w:line="360" w:lineRule="auto"/>
              <w:rPr>
                <w:rFonts w:hint="eastAsia" w:cs="宋体" w:asciiTheme="minorEastAsia" w:hAnsiTheme="minorEastAsia"/>
                <w:bCs/>
                <w:color w:val="000000"/>
                <w:kern w:val="0"/>
              </w:rPr>
            </w:pPr>
            <w:r>
              <w:rPr>
                <w:rFonts w:hint="eastAsia" w:cs="宋体" w:asciiTheme="minorEastAsia" w:hAnsiTheme="minorEastAsia"/>
                <w:szCs w:val="21"/>
              </w:rPr>
              <w:t>▲</w:t>
            </w:r>
            <w:r>
              <w:rPr>
                <w:rFonts w:hint="eastAsia" w:cs="宋体" w:asciiTheme="minorEastAsia" w:hAnsiTheme="minorEastAsia"/>
                <w:bCs/>
                <w:color w:val="000000"/>
                <w:kern w:val="0"/>
              </w:rPr>
              <w:t>系统支持针对后关系型数据库Caché数据库、IRIS数据库的审计。</w:t>
            </w:r>
            <w:bookmarkStart w:id="4" w:name="OLE_LINK1"/>
            <w:r>
              <w:rPr>
                <w:rFonts w:hint="eastAsia" w:cs="宋体" w:asciiTheme="minorEastAsia" w:hAnsiTheme="minorEastAsia"/>
                <w:bCs/>
                <w:color w:val="000000"/>
                <w:kern w:val="0"/>
              </w:rPr>
              <w:t>（提供配置截图、配置结果截图并加盖厂商公章）</w:t>
            </w:r>
            <w:bookmarkEnd w:id="4"/>
          </w:p>
        </w:tc>
      </w:tr>
      <w:tr w14:paraId="42A0F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88" w:type="dxa"/>
            <w:vMerge w:val="continue"/>
            <w:shd w:val="clear" w:color="auto" w:fill="auto"/>
            <w:tcMar>
              <w:left w:w="108" w:type="dxa"/>
              <w:right w:w="108" w:type="dxa"/>
            </w:tcMar>
            <w:vAlign w:val="center"/>
          </w:tcPr>
          <w:p w14:paraId="42816967">
            <w:pPr>
              <w:spacing w:line="360" w:lineRule="auto"/>
              <w:rPr>
                <w:rFonts w:hint="eastAsia" w:asciiTheme="minorEastAsia" w:hAnsiTheme="minorEastAsia"/>
              </w:rPr>
            </w:pPr>
          </w:p>
        </w:tc>
        <w:tc>
          <w:tcPr>
            <w:tcW w:w="6831" w:type="dxa"/>
            <w:shd w:val="clear" w:color="auto" w:fill="auto"/>
            <w:tcMar>
              <w:left w:w="108" w:type="dxa"/>
              <w:right w:w="108" w:type="dxa"/>
            </w:tcMar>
            <w:vAlign w:val="center"/>
          </w:tcPr>
          <w:p w14:paraId="79B57D9D">
            <w:pPr>
              <w:widowControl/>
              <w:spacing w:line="360" w:lineRule="auto"/>
              <w:rPr>
                <w:rFonts w:hint="eastAsia" w:cs="宋体" w:asciiTheme="minorEastAsia" w:hAnsiTheme="minorEastAsia"/>
                <w:bCs/>
                <w:color w:val="000000"/>
                <w:kern w:val="0"/>
              </w:rPr>
            </w:pPr>
            <w:r>
              <w:rPr>
                <w:rFonts w:hint="eastAsia" w:cs="宋体" w:asciiTheme="minorEastAsia" w:hAnsiTheme="minorEastAsia"/>
                <w:bCs/>
                <w:color w:val="000000"/>
                <w:kern w:val="0"/>
              </w:rPr>
              <w:t>支持数据库绑定变量审计、函数审计(sum求和函数等）</w:t>
            </w:r>
          </w:p>
        </w:tc>
      </w:tr>
      <w:tr w14:paraId="5322C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88" w:type="dxa"/>
            <w:vMerge w:val="continue"/>
            <w:shd w:val="clear" w:color="auto" w:fill="auto"/>
            <w:tcMar>
              <w:left w:w="108" w:type="dxa"/>
              <w:right w:w="108" w:type="dxa"/>
            </w:tcMar>
            <w:vAlign w:val="center"/>
          </w:tcPr>
          <w:p w14:paraId="334FA45B">
            <w:pPr>
              <w:spacing w:line="360" w:lineRule="auto"/>
              <w:rPr>
                <w:rFonts w:hint="eastAsia" w:asciiTheme="minorEastAsia" w:hAnsiTheme="minorEastAsia"/>
              </w:rPr>
            </w:pPr>
          </w:p>
        </w:tc>
        <w:tc>
          <w:tcPr>
            <w:tcW w:w="6831" w:type="dxa"/>
            <w:shd w:val="clear" w:color="auto" w:fill="auto"/>
            <w:tcMar>
              <w:left w:w="108" w:type="dxa"/>
              <w:right w:w="108" w:type="dxa"/>
            </w:tcMar>
            <w:vAlign w:val="center"/>
          </w:tcPr>
          <w:p w14:paraId="11610C55">
            <w:pPr>
              <w:widowControl/>
              <w:spacing w:line="360" w:lineRule="auto"/>
              <w:rPr>
                <w:rFonts w:hint="eastAsia" w:cs="宋体" w:asciiTheme="minorEastAsia" w:hAnsiTheme="minorEastAsia"/>
                <w:bCs/>
                <w:color w:val="000000"/>
                <w:kern w:val="0"/>
              </w:rPr>
            </w:pPr>
            <w:r>
              <w:rPr>
                <w:rFonts w:hint="eastAsia" w:cs="宋体" w:asciiTheme="minorEastAsia" w:hAnsiTheme="minorEastAsia"/>
                <w:szCs w:val="21"/>
              </w:rPr>
              <w:t>▲</w:t>
            </w:r>
            <w:r>
              <w:rPr>
                <w:rFonts w:hint="eastAsia" w:cs="宋体" w:asciiTheme="minorEastAsia" w:hAnsiTheme="minorEastAsia"/>
                <w:bCs/>
                <w:color w:val="000000"/>
                <w:kern w:val="0"/>
              </w:rPr>
              <w:t>支持大数据的安全审计（提供功能软著证明文件）</w:t>
            </w:r>
          </w:p>
        </w:tc>
      </w:tr>
      <w:tr w14:paraId="69CC5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88" w:type="dxa"/>
            <w:vMerge w:val="continue"/>
            <w:shd w:val="clear" w:color="auto" w:fill="auto"/>
            <w:tcMar>
              <w:left w:w="108" w:type="dxa"/>
              <w:right w:w="108" w:type="dxa"/>
            </w:tcMar>
            <w:vAlign w:val="center"/>
          </w:tcPr>
          <w:p w14:paraId="77576420">
            <w:pPr>
              <w:spacing w:line="360" w:lineRule="auto"/>
              <w:rPr>
                <w:rFonts w:hint="eastAsia" w:asciiTheme="minorEastAsia" w:hAnsiTheme="minorEastAsia"/>
              </w:rPr>
            </w:pPr>
          </w:p>
        </w:tc>
        <w:tc>
          <w:tcPr>
            <w:tcW w:w="6831" w:type="dxa"/>
            <w:shd w:val="clear" w:color="auto" w:fill="auto"/>
            <w:tcMar>
              <w:left w:w="108" w:type="dxa"/>
              <w:right w:w="108" w:type="dxa"/>
            </w:tcMar>
            <w:vAlign w:val="center"/>
          </w:tcPr>
          <w:p w14:paraId="6EA923B9">
            <w:pPr>
              <w:widowControl/>
              <w:spacing w:line="360" w:lineRule="auto"/>
              <w:rPr>
                <w:rFonts w:hint="eastAsia" w:cs="宋体" w:asciiTheme="minorEastAsia" w:hAnsiTheme="minorEastAsia"/>
                <w:bCs/>
                <w:color w:val="000000"/>
                <w:kern w:val="0"/>
              </w:rPr>
            </w:pPr>
            <w:r>
              <w:rPr>
                <w:rFonts w:hint="eastAsia" w:cs="宋体" w:asciiTheme="minorEastAsia" w:hAnsiTheme="minorEastAsia"/>
                <w:bCs/>
                <w:color w:val="000000"/>
                <w:kern w:val="0"/>
              </w:rPr>
              <w:t>支持端口重定向的审计，实现端口重定下情况下的数据不漏审计</w:t>
            </w:r>
          </w:p>
        </w:tc>
      </w:tr>
      <w:tr w14:paraId="12F41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88" w:type="dxa"/>
            <w:vMerge w:val="continue"/>
            <w:shd w:val="clear" w:color="auto" w:fill="auto"/>
            <w:tcMar>
              <w:left w:w="108" w:type="dxa"/>
              <w:right w:w="108" w:type="dxa"/>
            </w:tcMar>
            <w:vAlign w:val="center"/>
          </w:tcPr>
          <w:p w14:paraId="5E9A7096">
            <w:pPr>
              <w:spacing w:line="360" w:lineRule="auto"/>
              <w:rPr>
                <w:rFonts w:hint="eastAsia" w:asciiTheme="minorEastAsia" w:hAnsiTheme="minorEastAsia"/>
              </w:rPr>
            </w:pPr>
          </w:p>
        </w:tc>
        <w:tc>
          <w:tcPr>
            <w:tcW w:w="6831" w:type="dxa"/>
            <w:shd w:val="clear" w:color="auto" w:fill="auto"/>
            <w:tcMar>
              <w:left w:w="108" w:type="dxa"/>
              <w:right w:w="108" w:type="dxa"/>
            </w:tcMar>
            <w:vAlign w:val="center"/>
          </w:tcPr>
          <w:p w14:paraId="65DE0F0B">
            <w:pPr>
              <w:widowControl/>
              <w:spacing w:line="360" w:lineRule="auto"/>
              <w:rPr>
                <w:rFonts w:hint="eastAsia" w:cs="宋体" w:asciiTheme="minorEastAsia" w:hAnsiTheme="minorEastAsia"/>
                <w:bCs/>
                <w:color w:val="000000"/>
                <w:kern w:val="0"/>
              </w:rPr>
            </w:pPr>
            <w:r>
              <w:rPr>
                <w:rFonts w:hint="eastAsia" w:cs="宋体" w:asciiTheme="minorEastAsia" w:hAnsiTheme="minorEastAsia"/>
                <w:bCs/>
                <w:color w:val="000000"/>
                <w:kern w:val="0"/>
              </w:rPr>
              <w:t>支持带COM、COM+、DCOM组件的三层架构应用审计，可提取包括应用层工号（账号）之内的“六元组”身份信息，精确定位到人</w:t>
            </w:r>
          </w:p>
        </w:tc>
      </w:tr>
      <w:tr w14:paraId="7F4C5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88" w:type="dxa"/>
            <w:vMerge w:val="continue"/>
            <w:shd w:val="clear" w:color="auto" w:fill="auto"/>
            <w:tcMar>
              <w:left w:w="108" w:type="dxa"/>
              <w:right w:w="108" w:type="dxa"/>
            </w:tcMar>
            <w:vAlign w:val="center"/>
          </w:tcPr>
          <w:p w14:paraId="3818DAFA">
            <w:pPr>
              <w:spacing w:line="360" w:lineRule="auto"/>
              <w:rPr>
                <w:rFonts w:hint="eastAsia" w:asciiTheme="minorEastAsia" w:hAnsiTheme="minorEastAsia"/>
              </w:rPr>
            </w:pPr>
          </w:p>
        </w:tc>
        <w:tc>
          <w:tcPr>
            <w:tcW w:w="6831" w:type="dxa"/>
            <w:shd w:val="clear" w:color="auto" w:fill="auto"/>
            <w:tcMar>
              <w:left w:w="108" w:type="dxa"/>
              <w:right w:w="108" w:type="dxa"/>
            </w:tcMar>
            <w:vAlign w:val="center"/>
          </w:tcPr>
          <w:p w14:paraId="2C958642">
            <w:pPr>
              <w:widowControl/>
              <w:spacing w:line="360" w:lineRule="auto"/>
              <w:rPr>
                <w:rFonts w:hint="eastAsia" w:cs="宋体" w:asciiTheme="minorEastAsia" w:hAnsiTheme="minorEastAsia"/>
                <w:bCs/>
                <w:color w:val="000000"/>
                <w:kern w:val="0"/>
              </w:rPr>
            </w:pPr>
            <w:bookmarkStart w:id="5" w:name="OLE_LINK2"/>
            <w:r>
              <w:rPr>
                <w:rFonts w:hint="eastAsia" w:cs="宋体" w:asciiTheme="minorEastAsia" w:hAnsiTheme="minorEastAsia"/>
                <w:szCs w:val="21"/>
              </w:rPr>
              <w:t>▲</w:t>
            </w:r>
            <w:bookmarkEnd w:id="5"/>
            <w:r>
              <w:rPr>
                <w:rFonts w:hint="eastAsia" w:cs="宋体" w:asciiTheme="minorEastAsia" w:hAnsiTheme="minorEastAsia"/>
                <w:bCs/>
                <w:color w:val="000000"/>
                <w:kern w:val="0"/>
              </w:rPr>
              <w:t>支持B/S、C/S应用系统三层架构http应用审计，可提取包括应用系统的人员工号（账号）在内的“六元组”身份信息，精确定位到人，并可获取XML返回结果（提供配置截图、配置结果截图并加盖厂商公章）</w:t>
            </w:r>
          </w:p>
        </w:tc>
      </w:tr>
      <w:tr w14:paraId="6DC13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88" w:type="dxa"/>
            <w:vMerge w:val="continue"/>
            <w:shd w:val="clear" w:color="auto" w:fill="auto"/>
            <w:tcMar>
              <w:left w:w="108" w:type="dxa"/>
              <w:right w:w="108" w:type="dxa"/>
            </w:tcMar>
            <w:vAlign w:val="center"/>
          </w:tcPr>
          <w:p w14:paraId="2EF9C352">
            <w:pPr>
              <w:spacing w:line="360" w:lineRule="auto"/>
              <w:rPr>
                <w:rFonts w:hint="eastAsia" w:asciiTheme="minorEastAsia" w:hAnsiTheme="minorEastAsia"/>
              </w:rPr>
            </w:pPr>
          </w:p>
        </w:tc>
        <w:tc>
          <w:tcPr>
            <w:tcW w:w="6831" w:type="dxa"/>
            <w:shd w:val="clear" w:color="auto" w:fill="auto"/>
            <w:tcMar>
              <w:left w:w="108" w:type="dxa"/>
              <w:right w:w="108" w:type="dxa"/>
            </w:tcMar>
            <w:vAlign w:val="center"/>
          </w:tcPr>
          <w:p w14:paraId="3EC6DAB6">
            <w:pPr>
              <w:widowControl/>
              <w:spacing w:line="360" w:lineRule="auto"/>
              <w:rPr>
                <w:rFonts w:hint="eastAsia" w:cs="宋体" w:asciiTheme="minorEastAsia" w:hAnsiTheme="minorEastAsia"/>
                <w:bCs/>
                <w:color w:val="000000"/>
                <w:kern w:val="0"/>
              </w:rPr>
            </w:pPr>
            <w:r>
              <w:rPr>
                <w:rFonts w:hint="eastAsia" w:cs="宋体" w:asciiTheme="minorEastAsia" w:hAnsiTheme="minorEastAsia"/>
                <w:szCs w:val="21"/>
              </w:rPr>
              <w:t>▲</w:t>
            </w:r>
            <w:r>
              <w:rPr>
                <w:rFonts w:hint="eastAsia" w:cs="宋体" w:asciiTheme="minorEastAsia" w:hAnsiTheme="minorEastAsia"/>
                <w:bCs/>
                <w:color w:val="000000"/>
                <w:kern w:val="0"/>
              </w:rPr>
              <w:t>全面支持后关系型数据库Cache的集成工具Terminal、Portal、Studio、Sqlmanager、MedTrak工具的审计，其中Portal能审计到Sql语句、查询Global有返回结果，Sqlmanager支持根据SQL ID提取高效审计， Terminal能审计到SQL语句和返回结果,并支持本地审计，基于C/S的MedTrak工具能审计到操作报表的具体返回结果（提供配置截图、配置结果截图并加盖厂商公章）</w:t>
            </w:r>
          </w:p>
        </w:tc>
      </w:tr>
      <w:tr w14:paraId="249A2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88" w:type="dxa"/>
            <w:vMerge w:val="continue"/>
            <w:shd w:val="clear" w:color="auto" w:fill="auto"/>
            <w:tcMar>
              <w:left w:w="108" w:type="dxa"/>
              <w:right w:w="108" w:type="dxa"/>
            </w:tcMar>
            <w:vAlign w:val="center"/>
          </w:tcPr>
          <w:p w14:paraId="290AFCDD">
            <w:pPr>
              <w:spacing w:line="360" w:lineRule="auto"/>
              <w:rPr>
                <w:rFonts w:hint="eastAsia" w:asciiTheme="minorEastAsia" w:hAnsiTheme="minorEastAsia"/>
              </w:rPr>
            </w:pPr>
          </w:p>
        </w:tc>
        <w:tc>
          <w:tcPr>
            <w:tcW w:w="6831" w:type="dxa"/>
            <w:shd w:val="clear" w:color="auto" w:fill="auto"/>
            <w:tcMar>
              <w:left w:w="108" w:type="dxa"/>
              <w:right w:w="108" w:type="dxa"/>
            </w:tcMar>
            <w:vAlign w:val="center"/>
          </w:tcPr>
          <w:p w14:paraId="25937271">
            <w:pPr>
              <w:widowControl/>
              <w:spacing w:line="360" w:lineRule="auto"/>
              <w:rPr>
                <w:rFonts w:hint="eastAsia" w:cs="宋体" w:asciiTheme="minorEastAsia" w:hAnsiTheme="minorEastAsia"/>
                <w:bCs/>
                <w:color w:val="000000"/>
                <w:kern w:val="0"/>
              </w:rPr>
            </w:pPr>
            <w:r>
              <w:rPr>
                <w:rFonts w:hint="eastAsia" w:cs="宋体" w:asciiTheme="minorEastAsia" w:hAnsiTheme="minorEastAsia"/>
                <w:szCs w:val="21"/>
              </w:rPr>
              <w:t>▲</w:t>
            </w:r>
            <w:r>
              <w:rPr>
                <w:rFonts w:hint="eastAsia" w:cs="宋体" w:asciiTheme="minorEastAsia" w:hAnsiTheme="minorEastAsia"/>
                <w:bCs/>
                <w:color w:val="000000"/>
                <w:kern w:val="0"/>
              </w:rPr>
              <w:t>系统自带各种常见HIS防统方规则库，且规则数量≥800条以上，支持自定义防统方规则（提供配置截图、配置结果截图并加盖厂商公章）</w:t>
            </w:r>
          </w:p>
        </w:tc>
      </w:tr>
      <w:tr w14:paraId="1FA58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88" w:type="dxa"/>
            <w:vMerge w:val="continue"/>
            <w:shd w:val="clear" w:color="auto" w:fill="auto"/>
            <w:tcMar>
              <w:left w:w="108" w:type="dxa"/>
              <w:right w:w="108" w:type="dxa"/>
            </w:tcMar>
            <w:vAlign w:val="center"/>
          </w:tcPr>
          <w:p w14:paraId="4A294BCD">
            <w:pPr>
              <w:spacing w:line="360" w:lineRule="auto"/>
              <w:rPr>
                <w:rFonts w:hint="eastAsia" w:asciiTheme="minorEastAsia" w:hAnsiTheme="minorEastAsia"/>
              </w:rPr>
            </w:pPr>
          </w:p>
        </w:tc>
        <w:tc>
          <w:tcPr>
            <w:tcW w:w="6831" w:type="dxa"/>
            <w:shd w:val="clear" w:color="auto" w:fill="auto"/>
            <w:tcMar>
              <w:left w:w="108" w:type="dxa"/>
              <w:right w:w="108" w:type="dxa"/>
            </w:tcMar>
            <w:vAlign w:val="center"/>
          </w:tcPr>
          <w:p w14:paraId="2D4DE060">
            <w:pPr>
              <w:widowControl/>
              <w:spacing w:line="360" w:lineRule="auto"/>
              <w:rPr>
                <w:rFonts w:hint="eastAsia" w:cs="宋体" w:asciiTheme="minorEastAsia" w:hAnsiTheme="minorEastAsia"/>
                <w:bCs/>
                <w:color w:val="000000"/>
                <w:kern w:val="0"/>
              </w:rPr>
            </w:pPr>
            <w:r>
              <w:rPr>
                <w:rFonts w:hint="eastAsia" w:cs="宋体" w:asciiTheme="minorEastAsia" w:hAnsiTheme="minorEastAsia"/>
                <w:szCs w:val="21"/>
              </w:rPr>
              <w:t>▲</w:t>
            </w:r>
            <w:r>
              <w:rPr>
                <w:rFonts w:hint="eastAsia" w:cs="宋体" w:asciiTheme="minorEastAsia" w:hAnsiTheme="minorEastAsia"/>
                <w:bCs/>
                <w:color w:val="000000"/>
                <w:kern w:val="0"/>
              </w:rPr>
              <w:t>支持统方确认，点击查看某条审计记录，能够进行统方确认，此时该条审计记录就会从审计记录中移除，加入到统方报表中（提供配置截图、配置结果截图并加盖厂商公章）</w:t>
            </w:r>
          </w:p>
        </w:tc>
      </w:tr>
      <w:tr w14:paraId="725C7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88" w:type="dxa"/>
            <w:vMerge w:val="continue"/>
            <w:shd w:val="clear" w:color="auto" w:fill="auto"/>
            <w:tcMar>
              <w:left w:w="108" w:type="dxa"/>
              <w:right w:w="108" w:type="dxa"/>
            </w:tcMar>
            <w:vAlign w:val="center"/>
          </w:tcPr>
          <w:p w14:paraId="2B6F18B6">
            <w:pPr>
              <w:spacing w:line="360" w:lineRule="auto"/>
              <w:rPr>
                <w:rFonts w:hint="eastAsia" w:asciiTheme="minorEastAsia" w:hAnsiTheme="minorEastAsia"/>
              </w:rPr>
            </w:pPr>
          </w:p>
        </w:tc>
        <w:tc>
          <w:tcPr>
            <w:tcW w:w="6831" w:type="dxa"/>
            <w:shd w:val="clear" w:color="auto" w:fill="auto"/>
            <w:tcMar>
              <w:left w:w="108" w:type="dxa"/>
              <w:right w:w="108" w:type="dxa"/>
            </w:tcMar>
            <w:vAlign w:val="center"/>
          </w:tcPr>
          <w:p w14:paraId="6013CAEB">
            <w:pPr>
              <w:widowControl/>
              <w:spacing w:line="360" w:lineRule="auto"/>
              <w:rPr>
                <w:rFonts w:hint="eastAsia" w:cs="宋体" w:asciiTheme="minorEastAsia" w:hAnsiTheme="minorEastAsia"/>
                <w:bCs/>
                <w:color w:val="000000"/>
                <w:kern w:val="0"/>
              </w:rPr>
            </w:pPr>
            <w:r>
              <w:rPr>
                <w:rFonts w:hint="eastAsia" w:cs="宋体" w:asciiTheme="minorEastAsia" w:hAnsiTheme="minorEastAsia"/>
                <w:bCs/>
                <w:color w:val="000000"/>
                <w:kern w:val="0"/>
              </w:rPr>
              <w:t>支持对可疑监控对象的操作语句进行会话级的事件回放，回放时间可达前后60分钟，方便风险及违规操作的追溯</w:t>
            </w:r>
          </w:p>
        </w:tc>
      </w:tr>
      <w:tr w14:paraId="7C3BA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88" w:type="dxa"/>
            <w:vMerge w:val="continue"/>
            <w:shd w:val="clear" w:color="auto" w:fill="auto"/>
            <w:tcMar>
              <w:left w:w="108" w:type="dxa"/>
              <w:right w:w="108" w:type="dxa"/>
            </w:tcMar>
            <w:vAlign w:val="center"/>
          </w:tcPr>
          <w:p w14:paraId="60C80443">
            <w:pPr>
              <w:spacing w:line="360" w:lineRule="auto"/>
              <w:rPr>
                <w:rFonts w:hint="eastAsia" w:asciiTheme="minorEastAsia" w:hAnsiTheme="minorEastAsia"/>
              </w:rPr>
            </w:pPr>
          </w:p>
        </w:tc>
        <w:tc>
          <w:tcPr>
            <w:tcW w:w="6831" w:type="dxa"/>
            <w:shd w:val="clear" w:color="auto" w:fill="auto"/>
            <w:tcMar>
              <w:left w:w="108" w:type="dxa"/>
              <w:right w:w="108" w:type="dxa"/>
            </w:tcMar>
            <w:vAlign w:val="center"/>
          </w:tcPr>
          <w:p w14:paraId="7458582D">
            <w:pPr>
              <w:widowControl/>
              <w:spacing w:line="360" w:lineRule="auto"/>
              <w:rPr>
                <w:rFonts w:hint="eastAsia" w:cs="宋体" w:asciiTheme="minorEastAsia" w:hAnsiTheme="minorEastAsia"/>
                <w:bCs/>
                <w:color w:val="000000"/>
                <w:kern w:val="0"/>
              </w:rPr>
            </w:pPr>
            <w:r>
              <w:rPr>
                <w:rFonts w:hint="eastAsia" w:cs="宋体" w:asciiTheme="minorEastAsia" w:hAnsiTheme="minorEastAsia"/>
                <w:szCs w:val="21"/>
              </w:rPr>
              <w:t>▲</w:t>
            </w:r>
            <w:r>
              <w:rPr>
                <w:rFonts w:hint="eastAsia" w:cs="宋体" w:asciiTheme="minorEastAsia" w:hAnsiTheme="minorEastAsia"/>
                <w:bCs/>
                <w:color w:val="000000"/>
                <w:kern w:val="0"/>
              </w:rPr>
              <w:t>翻译功能：支持在审计时自动将审计结果翻译成自然语言，支持系统定义和用户自定义翻译，按照业务的行为和分类来进行信息的组织和展现，便于审计人员方便、简单的获得并了解数据库审计的结果（提供配置截图、配置结果截图并加盖厂商公章）</w:t>
            </w:r>
          </w:p>
        </w:tc>
      </w:tr>
      <w:tr w14:paraId="713E8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88" w:type="dxa"/>
            <w:vMerge w:val="continue"/>
            <w:shd w:val="clear" w:color="auto" w:fill="auto"/>
            <w:tcMar>
              <w:left w:w="108" w:type="dxa"/>
              <w:right w:w="108" w:type="dxa"/>
            </w:tcMar>
            <w:vAlign w:val="center"/>
          </w:tcPr>
          <w:p w14:paraId="189DBF25">
            <w:pPr>
              <w:spacing w:line="360" w:lineRule="auto"/>
              <w:rPr>
                <w:rFonts w:hint="eastAsia" w:asciiTheme="minorEastAsia" w:hAnsiTheme="minorEastAsia"/>
              </w:rPr>
            </w:pPr>
          </w:p>
        </w:tc>
        <w:tc>
          <w:tcPr>
            <w:tcW w:w="6831" w:type="dxa"/>
            <w:shd w:val="clear" w:color="auto" w:fill="auto"/>
            <w:tcMar>
              <w:left w:w="108" w:type="dxa"/>
              <w:right w:w="108" w:type="dxa"/>
            </w:tcMar>
            <w:vAlign w:val="center"/>
          </w:tcPr>
          <w:p w14:paraId="76BAA450">
            <w:pPr>
              <w:widowControl/>
              <w:spacing w:line="360" w:lineRule="auto"/>
              <w:rPr>
                <w:rFonts w:hint="eastAsia" w:cs="宋体" w:asciiTheme="minorEastAsia" w:hAnsiTheme="minorEastAsia"/>
                <w:bCs/>
                <w:color w:val="000000"/>
                <w:kern w:val="0"/>
              </w:rPr>
            </w:pPr>
            <w:r>
              <w:rPr>
                <w:rFonts w:hint="eastAsia" w:cs="宋体" w:asciiTheme="minorEastAsia" w:hAnsiTheme="minorEastAsia"/>
                <w:szCs w:val="21"/>
              </w:rPr>
              <w:t>▲</w:t>
            </w:r>
            <w:r>
              <w:rPr>
                <w:rFonts w:hint="eastAsia" w:cs="宋体" w:asciiTheme="minorEastAsia" w:hAnsiTheme="minorEastAsia"/>
                <w:bCs/>
                <w:color w:val="000000"/>
                <w:kern w:val="0"/>
              </w:rPr>
              <w:t>支持特定时间区间内抗菌药，药剂及耗材的种类，型号，规格，用量，价值的排名统计，并生成报表（提供配置截图、配置结果截图并加盖厂商公章）</w:t>
            </w:r>
          </w:p>
        </w:tc>
      </w:tr>
      <w:tr w14:paraId="1162A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88" w:type="dxa"/>
            <w:vMerge w:val="continue"/>
            <w:shd w:val="clear" w:color="auto" w:fill="auto"/>
            <w:tcMar>
              <w:left w:w="108" w:type="dxa"/>
              <w:right w:w="108" w:type="dxa"/>
            </w:tcMar>
            <w:vAlign w:val="center"/>
          </w:tcPr>
          <w:p w14:paraId="060A6A0A">
            <w:pPr>
              <w:spacing w:line="360" w:lineRule="auto"/>
              <w:rPr>
                <w:rFonts w:hint="eastAsia" w:asciiTheme="minorEastAsia" w:hAnsiTheme="minorEastAsia"/>
              </w:rPr>
            </w:pPr>
          </w:p>
        </w:tc>
        <w:tc>
          <w:tcPr>
            <w:tcW w:w="6831" w:type="dxa"/>
            <w:shd w:val="clear" w:color="auto" w:fill="auto"/>
            <w:tcMar>
              <w:left w:w="108" w:type="dxa"/>
              <w:right w:w="108" w:type="dxa"/>
            </w:tcMar>
            <w:vAlign w:val="center"/>
          </w:tcPr>
          <w:p w14:paraId="5892C37E">
            <w:pPr>
              <w:widowControl/>
              <w:spacing w:line="360" w:lineRule="auto"/>
              <w:rPr>
                <w:rFonts w:hint="eastAsia" w:cs="宋体" w:asciiTheme="minorEastAsia" w:hAnsiTheme="minorEastAsia"/>
                <w:bCs/>
                <w:color w:val="000000"/>
                <w:kern w:val="0"/>
              </w:rPr>
            </w:pPr>
            <w:r>
              <w:rPr>
                <w:rFonts w:hint="eastAsia" w:cs="宋体" w:asciiTheme="minorEastAsia" w:hAnsiTheme="minorEastAsia"/>
                <w:bCs/>
                <w:color w:val="000000"/>
                <w:kern w:val="0"/>
              </w:rPr>
              <w:t>支持系统管理人员异常操作监控，可按需选择需要告警的操作类别，未开启的操作类别不会发生告警。可以看到具体的告警日志信息，同时支持指定查询某时间段和某类型的告警日志查询</w:t>
            </w:r>
          </w:p>
        </w:tc>
      </w:tr>
      <w:tr w14:paraId="4119F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88" w:type="dxa"/>
            <w:vMerge w:val="continue"/>
            <w:shd w:val="clear" w:color="auto" w:fill="auto"/>
            <w:tcMar>
              <w:left w:w="108" w:type="dxa"/>
              <w:right w:w="108" w:type="dxa"/>
            </w:tcMar>
            <w:vAlign w:val="center"/>
          </w:tcPr>
          <w:p w14:paraId="116DD6DE">
            <w:pPr>
              <w:spacing w:line="360" w:lineRule="auto"/>
              <w:rPr>
                <w:rFonts w:hint="eastAsia" w:asciiTheme="minorEastAsia" w:hAnsiTheme="minorEastAsia"/>
              </w:rPr>
            </w:pPr>
          </w:p>
        </w:tc>
        <w:tc>
          <w:tcPr>
            <w:tcW w:w="6831" w:type="dxa"/>
            <w:shd w:val="clear" w:color="auto" w:fill="auto"/>
            <w:tcMar>
              <w:left w:w="108" w:type="dxa"/>
              <w:right w:w="108" w:type="dxa"/>
            </w:tcMar>
            <w:vAlign w:val="center"/>
          </w:tcPr>
          <w:p w14:paraId="3DD8CC14">
            <w:pPr>
              <w:widowControl/>
              <w:spacing w:line="360" w:lineRule="auto"/>
              <w:rPr>
                <w:rFonts w:hint="eastAsia" w:cs="宋体" w:asciiTheme="minorEastAsia" w:hAnsiTheme="minorEastAsia"/>
                <w:bCs/>
                <w:color w:val="000000"/>
                <w:kern w:val="0"/>
              </w:rPr>
            </w:pPr>
            <w:r>
              <w:rPr>
                <w:rFonts w:hint="eastAsia" w:cs="宋体" w:asciiTheme="minorEastAsia" w:hAnsiTheme="minorEastAsia"/>
                <w:bCs/>
                <w:color w:val="000000"/>
                <w:kern w:val="0"/>
              </w:rPr>
              <w:t>支持对SQL注入、跨站脚本攻击等web攻击的识别与告警</w:t>
            </w:r>
          </w:p>
        </w:tc>
      </w:tr>
      <w:tr w14:paraId="399E5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88" w:type="dxa"/>
            <w:vMerge w:val="continue"/>
            <w:shd w:val="clear" w:color="auto" w:fill="auto"/>
            <w:tcMar>
              <w:left w:w="108" w:type="dxa"/>
              <w:right w:w="108" w:type="dxa"/>
            </w:tcMar>
            <w:vAlign w:val="center"/>
          </w:tcPr>
          <w:p w14:paraId="1BE85DF7">
            <w:pPr>
              <w:spacing w:line="360" w:lineRule="auto"/>
              <w:rPr>
                <w:rFonts w:hint="eastAsia" w:asciiTheme="minorEastAsia" w:hAnsiTheme="minorEastAsia"/>
              </w:rPr>
            </w:pPr>
          </w:p>
        </w:tc>
        <w:tc>
          <w:tcPr>
            <w:tcW w:w="6831" w:type="dxa"/>
            <w:shd w:val="clear" w:color="auto" w:fill="auto"/>
            <w:tcMar>
              <w:left w:w="108" w:type="dxa"/>
              <w:right w:w="108" w:type="dxa"/>
            </w:tcMar>
            <w:vAlign w:val="center"/>
          </w:tcPr>
          <w:p w14:paraId="3C6995A3">
            <w:pPr>
              <w:widowControl/>
              <w:spacing w:line="360" w:lineRule="auto"/>
              <w:rPr>
                <w:rFonts w:hint="eastAsia" w:cs="宋体" w:asciiTheme="minorEastAsia" w:hAnsiTheme="minorEastAsia"/>
                <w:bCs/>
                <w:color w:val="000000"/>
                <w:kern w:val="0"/>
              </w:rPr>
            </w:pPr>
            <w:r>
              <w:rPr>
                <w:rFonts w:hint="eastAsia" w:cs="宋体" w:asciiTheme="minorEastAsia" w:hAnsiTheme="minorEastAsia"/>
                <w:bCs/>
                <w:color w:val="000000"/>
                <w:kern w:val="0"/>
              </w:rPr>
              <w:t>第三方接口功能与联动：支持Syslog和SNMP Trap方式向外发送审计日志，支持与第三方邮件和短信系统对接，可外置短信猫，支持GSM卡，提供接口可实现与网络设备的联动；</w:t>
            </w:r>
          </w:p>
        </w:tc>
      </w:tr>
      <w:tr w14:paraId="65DBE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688" w:type="dxa"/>
            <w:vMerge w:val="continue"/>
            <w:shd w:val="clear" w:color="auto" w:fill="auto"/>
            <w:tcMar>
              <w:left w:w="108" w:type="dxa"/>
              <w:right w:w="108" w:type="dxa"/>
            </w:tcMar>
            <w:vAlign w:val="center"/>
          </w:tcPr>
          <w:p w14:paraId="0B86A438">
            <w:pPr>
              <w:spacing w:line="360" w:lineRule="auto"/>
              <w:rPr>
                <w:rFonts w:hint="eastAsia" w:asciiTheme="minorEastAsia" w:hAnsiTheme="minorEastAsia"/>
              </w:rPr>
            </w:pPr>
          </w:p>
        </w:tc>
        <w:tc>
          <w:tcPr>
            <w:tcW w:w="6831" w:type="dxa"/>
            <w:shd w:val="clear" w:color="auto" w:fill="auto"/>
            <w:tcMar>
              <w:left w:w="108" w:type="dxa"/>
              <w:right w:w="108" w:type="dxa"/>
            </w:tcMar>
            <w:vAlign w:val="center"/>
          </w:tcPr>
          <w:p w14:paraId="4756BEA0">
            <w:pPr>
              <w:widowControl/>
              <w:spacing w:line="360" w:lineRule="auto"/>
              <w:rPr>
                <w:rFonts w:hint="eastAsia" w:cs="宋体" w:asciiTheme="minorEastAsia" w:hAnsiTheme="minorEastAsia"/>
                <w:bCs/>
                <w:color w:val="000000"/>
                <w:kern w:val="0"/>
                <w:lang w:bidi="ar"/>
              </w:rPr>
            </w:pPr>
            <w:r>
              <w:rPr>
                <w:rFonts w:hint="eastAsia" w:cs="宋体" w:asciiTheme="minorEastAsia" w:hAnsiTheme="minorEastAsia"/>
                <w:szCs w:val="21"/>
              </w:rPr>
              <w:t>▲</w:t>
            </w:r>
            <w:r>
              <w:rPr>
                <w:rFonts w:hint="eastAsia" w:cs="宋体" w:asciiTheme="minorEastAsia" w:hAnsiTheme="minorEastAsia"/>
                <w:bCs/>
                <w:color w:val="000000"/>
                <w:kern w:val="0"/>
                <w:lang w:bidi="ar"/>
              </w:rPr>
              <w:t>集中管理及配置要求：后续可能存在扩容，为管理及维护便捷性，要求支持集中管理模式，提供相关功能的证明（提供功能软件著作权证明文件）</w:t>
            </w:r>
          </w:p>
        </w:tc>
      </w:tr>
      <w:tr w14:paraId="25C6D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33" w:hRule="atLeast"/>
          <w:jc w:val="center"/>
        </w:trPr>
        <w:tc>
          <w:tcPr>
            <w:tcW w:w="1688" w:type="dxa"/>
            <w:shd w:val="clear" w:color="auto" w:fill="auto"/>
            <w:vAlign w:val="center"/>
          </w:tcPr>
          <w:p w14:paraId="40735150">
            <w:pPr>
              <w:spacing w:line="360" w:lineRule="auto"/>
              <w:jc w:val="left"/>
              <w:rPr>
                <w:rFonts w:hint="eastAsia" w:asciiTheme="minorEastAsia" w:hAnsiTheme="minorEastAsia"/>
              </w:rPr>
            </w:pPr>
            <w:r>
              <w:rPr>
                <w:rFonts w:hint="eastAsia" w:asciiTheme="minorEastAsia" w:hAnsiTheme="minorEastAsia"/>
              </w:rPr>
              <w:t>信息安全产品强制认证</w:t>
            </w:r>
          </w:p>
        </w:tc>
        <w:tc>
          <w:tcPr>
            <w:tcW w:w="6831" w:type="dxa"/>
            <w:shd w:val="clear" w:color="auto" w:fill="auto"/>
            <w:tcMar>
              <w:left w:w="108" w:type="dxa"/>
              <w:right w:w="108" w:type="dxa"/>
            </w:tcMar>
            <w:vAlign w:val="center"/>
          </w:tcPr>
          <w:p w14:paraId="23034999">
            <w:pPr>
              <w:widowControl/>
              <w:spacing w:line="360" w:lineRule="auto"/>
              <w:rPr>
                <w:rFonts w:hint="eastAsia" w:cs="宋体" w:asciiTheme="minorEastAsia" w:hAnsiTheme="minorEastAsia"/>
                <w:color w:val="000000"/>
                <w:kern w:val="0"/>
                <w:lang w:bidi="ar"/>
              </w:rPr>
            </w:pPr>
            <w:r>
              <w:rPr>
                <w:rFonts w:hint="eastAsia" w:cs="宋体" w:asciiTheme="minorEastAsia" w:hAnsiTheme="minorEastAsia"/>
                <w:szCs w:val="21"/>
              </w:rPr>
              <w:t>▲</w:t>
            </w:r>
            <w:r>
              <w:rPr>
                <w:rFonts w:hint="eastAsia" w:cs="宋体" w:asciiTheme="minorEastAsia" w:hAnsiTheme="minorEastAsia"/>
                <w:color w:val="000000"/>
                <w:kern w:val="0"/>
                <w:lang w:bidi="ar"/>
              </w:rPr>
              <w:t>防统方系统为网络安全产品，为满足信息安全合规要求，投标产品须获得公安部销售许可证或网络安全专用产品检测证书，资质证书名称须涵盖“防统方”字样。以上认证须提供相关证书并加盖公章，原件备查。</w:t>
            </w:r>
          </w:p>
          <w:p w14:paraId="502B3CC3">
            <w:pPr>
              <w:pStyle w:val="3"/>
              <w:rPr>
                <w:rFonts w:hint="eastAsia" w:asciiTheme="minorEastAsia" w:hAnsiTheme="minorEastAsia" w:eastAsiaTheme="minorEastAsia"/>
                <w:lang w:bidi="ar"/>
              </w:rPr>
            </w:pPr>
            <w:r>
              <w:rPr>
                <w:rFonts w:hint="eastAsia" w:cs="宋体" w:asciiTheme="minorEastAsia" w:hAnsiTheme="minorEastAsia" w:eastAsiaTheme="minorEastAsia"/>
                <w:b w:val="0"/>
                <w:bCs w:val="0"/>
                <w:color w:val="000000"/>
                <w:kern w:val="0"/>
                <w:sz w:val="21"/>
                <w:szCs w:val="24"/>
                <w:lang w:bidi="ar"/>
              </w:rPr>
              <w:t>▲</w:t>
            </w:r>
            <w:r>
              <w:rPr>
                <w:rFonts w:cs="宋体" w:asciiTheme="minorEastAsia" w:hAnsiTheme="minorEastAsia" w:eastAsiaTheme="minorEastAsia"/>
                <w:b w:val="0"/>
                <w:bCs w:val="0"/>
                <w:color w:val="000000"/>
                <w:kern w:val="0"/>
                <w:sz w:val="21"/>
                <w:szCs w:val="24"/>
                <w:lang w:bidi="ar"/>
              </w:rPr>
              <w:t>软件供应链安全性：</w:t>
            </w:r>
            <w:r>
              <w:rPr>
                <w:rFonts w:hint="eastAsia" w:cs="宋体" w:asciiTheme="minorEastAsia" w:hAnsiTheme="minorEastAsia" w:eastAsiaTheme="minorEastAsia"/>
                <w:b w:val="0"/>
                <w:color w:val="000000"/>
                <w:kern w:val="0"/>
                <w:sz w:val="21"/>
                <w:szCs w:val="24"/>
              </w:rPr>
              <w:t>厂商具备数据库漏洞挖掘能力，同时具备通过此漏洞进行高危操作的审计与防护能力；提供已挖掘且CVE确认的数据库危险漏洞证明不少于3个（提供C</w:t>
            </w:r>
            <w:r>
              <w:rPr>
                <w:rFonts w:cs="宋体" w:asciiTheme="minorEastAsia" w:hAnsiTheme="minorEastAsia" w:eastAsiaTheme="minorEastAsia"/>
                <w:b w:val="0"/>
                <w:color w:val="000000"/>
                <w:kern w:val="0"/>
                <w:sz w:val="21"/>
                <w:szCs w:val="24"/>
              </w:rPr>
              <w:t>VE</w:t>
            </w:r>
            <w:r>
              <w:rPr>
                <w:rFonts w:hint="eastAsia" w:cs="宋体" w:asciiTheme="minorEastAsia" w:hAnsiTheme="minorEastAsia" w:eastAsiaTheme="minorEastAsia"/>
                <w:b w:val="0"/>
                <w:color w:val="000000"/>
                <w:kern w:val="0"/>
                <w:sz w:val="21"/>
                <w:szCs w:val="24"/>
              </w:rPr>
              <w:t>编号及官网链接），提供已挖掘且C</w:t>
            </w:r>
            <w:r>
              <w:rPr>
                <w:rFonts w:cs="宋体" w:asciiTheme="minorEastAsia" w:hAnsiTheme="minorEastAsia" w:eastAsiaTheme="minorEastAsia"/>
                <w:b w:val="0"/>
                <w:color w:val="000000"/>
                <w:kern w:val="0"/>
                <w:sz w:val="21"/>
                <w:szCs w:val="24"/>
              </w:rPr>
              <w:t>NVD</w:t>
            </w:r>
            <w:r>
              <w:rPr>
                <w:rFonts w:hint="eastAsia" w:cs="宋体" w:asciiTheme="minorEastAsia" w:hAnsiTheme="minorEastAsia" w:eastAsiaTheme="minorEastAsia"/>
                <w:b w:val="0"/>
                <w:color w:val="000000"/>
                <w:kern w:val="0"/>
                <w:sz w:val="21"/>
                <w:szCs w:val="24"/>
              </w:rPr>
              <w:t>确认的数据库危险漏洞证明不低于5个（提供C</w:t>
            </w:r>
            <w:r>
              <w:rPr>
                <w:rFonts w:cs="宋体" w:asciiTheme="minorEastAsia" w:hAnsiTheme="minorEastAsia" w:eastAsiaTheme="minorEastAsia"/>
                <w:b w:val="0"/>
                <w:color w:val="000000"/>
                <w:kern w:val="0"/>
                <w:sz w:val="21"/>
                <w:szCs w:val="24"/>
              </w:rPr>
              <w:t>NVD</w:t>
            </w:r>
            <w:r>
              <w:rPr>
                <w:rFonts w:hint="eastAsia" w:cs="宋体" w:asciiTheme="minorEastAsia" w:hAnsiTheme="minorEastAsia" w:eastAsiaTheme="minorEastAsia"/>
                <w:b w:val="0"/>
                <w:color w:val="000000"/>
                <w:kern w:val="0"/>
                <w:sz w:val="21"/>
                <w:szCs w:val="24"/>
              </w:rPr>
              <w:t>颁发的原创漏洞证明证书）；</w:t>
            </w:r>
          </w:p>
        </w:tc>
      </w:tr>
      <w:tr w14:paraId="799D5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2" w:hRule="atLeast"/>
          <w:jc w:val="center"/>
        </w:trPr>
        <w:tc>
          <w:tcPr>
            <w:tcW w:w="1688" w:type="dxa"/>
            <w:shd w:val="clear" w:color="auto" w:fill="auto"/>
            <w:vAlign w:val="center"/>
          </w:tcPr>
          <w:p w14:paraId="5856D685">
            <w:pPr>
              <w:spacing w:line="360" w:lineRule="auto"/>
              <w:jc w:val="left"/>
              <w:rPr>
                <w:rFonts w:hint="eastAsia" w:asciiTheme="minorEastAsia" w:hAnsiTheme="minorEastAsia"/>
              </w:rPr>
            </w:pPr>
            <w:r>
              <w:rPr>
                <w:rFonts w:hint="eastAsia" w:asciiTheme="minorEastAsia" w:hAnsiTheme="minorEastAsia"/>
              </w:rPr>
              <w:t>售后服务能力</w:t>
            </w:r>
          </w:p>
        </w:tc>
        <w:tc>
          <w:tcPr>
            <w:tcW w:w="6831" w:type="dxa"/>
            <w:shd w:val="clear" w:color="auto" w:fill="auto"/>
            <w:tcMar>
              <w:left w:w="108" w:type="dxa"/>
              <w:right w:w="108" w:type="dxa"/>
            </w:tcMar>
            <w:vAlign w:val="center"/>
          </w:tcPr>
          <w:p w14:paraId="16709F56">
            <w:pPr>
              <w:widowControl/>
              <w:spacing w:line="360" w:lineRule="auto"/>
              <w:rPr>
                <w:rFonts w:hint="eastAsia" w:cs="宋体" w:asciiTheme="minorEastAsia" w:hAnsiTheme="minorEastAsia"/>
                <w:bCs/>
                <w:color w:val="000000"/>
                <w:kern w:val="0"/>
              </w:rPr>
            </w:pPr>
            <w:r>
              <w:rPr>
                <w:rFonts w:hint="eastAsia" w:cs="宋体" w:asciiTheme="minorEastAsia" w:hAnsiTheme="minorEastAsia"/>
                <w:bCs/>
                <w:color w:val="000000"/>
                <w:kern w:val="0"/>
              </w:rPr>
              <w:t>售后服务响应要求：为确保售后服务响应及时性，要求厂商或供应商在本地有售后服务机构，要求提供营业执照及场地租赁合同并加盖公章；</w:t>
            </w:r>
          </w:p>
        </w:tc>
      </w:tr>
      <w:tr w14:paraId="04497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2" w:hRule="atLeast"/>
          <w:jc w:val="center"/>
        </w:trPr>
        <w:tc>
          <w:tcPr>
            <w:tcW w:w="1688" w:type="dxa"/>
            <w:vMerge w:val="restart"/>
            <w:shd w:val="clear" w:color="auto" w:fill="auto"/>
            <w:vAlign w:val="center"/>
          </w:tcPr>
          <w:p w14:paraId="237C658C">
            <w:pPr>
              <w:spacing w:line="360" w:lineRule="auto"/>
              <w:rPr>
                <w:rFonts w:hint="eastAsia" w:cs="lucida Grande" w:asciiTheme="minorEastAsia" w:hAnsiTheme="minorEastAsia"/>
                <w:color w:val="000000"/>
              </w:rPr>
            </w:pPr>
            <w:r>
              <w:rPr>
                <w:rFonts w:hint="eastAsia" w:cs="lucida Grande" w:asciiTheme="minorEastAsia" w:hAnsiTheme="minorEastAsia"/>
                <w:color w:val="000000"/>
              </w:rPr>
              <w:t>厂商资质</w:t>
            </w:r>
          </w:p>
        </w:tc>
        <w:tc>
          <w:tcPr>
            <w:tcW w:w="6831" w:type="dxa"/>
            <w:shd w:val="clear" w:color="auto" w:fill="auto"/>
            <w:tcMar>
              <w:left w:w="108" w:type="dxa"/>
              <w:right w:w="108" w:type="dxa"/>
            </w:tcMar>
            <w:vAlign w:val="center"/>
          </w:tcPr>
          <w:p w14:paraId="76505E95">
            <w:pPr>
              <w:widowControl/>
              <w:spacing w:line="360" w:lineRule="auto"/>
              <w:rPr>
                <w:rFonts w:hint="eastAsia" w:cs="宋体" w:asciiTheme="minorEastAsia" w:hAnsiTheme="minorEastAsia"/>
                <w:bCs/>
                <w:color w:val="000000"/>
              </w:rPr>
            </w:pPr>
            <w:r>
              <w:rPr>
                <w:rFonts w:hint="eastAsia" w:cs="宋体" w:asciiTheme="minorEastAsia" w:hAnsiTheme="minorEastAsia"/>
                <w:bCs/>
                <w:color w:val="000000"/>
                <w:lang w:bidi="ar"/>
              </w:rPr>
              <w:t>厂商研发能力：</w:t>
            </w:r>
            <w:r>
              <w:rPr>
                <w:rFonts w:hint="eastAsia" w:cs="宋体" w:asciiTheme="minorEastAsia" w:hAnsiTheme="minorEastAsia"/>
                <w:color w:val="000000"/>
                <w:lang w:bidi="ar"/>
              </w:rPr>
              <w:t>须</w:t>
            </w:r>
            <w:r>
              <w:rPr>
                <w:rFonts w:hint="eastAsia" w:cs="宋体" w:asciiTheme="minorEastAsia" w:hAnsiTheme="minorEastAsia"/>
                <w:bCs/>
                <w:color w:val="000000"/>
                <w:lang w:bidi="ar"/>
              </w:rPr>
              <w:t>通过CMMI3级或以上认证</w:t>
            </w:r>
            <w:r>
              <w:rPr>
                <w:rFonts w:cs="宋体" w:asciiTheme="minorEastAsia" w:hAnsiTheme="minorEastAsia"/>
                <w:bCs/>
                <w:color w:val="000000"/>
              </w:rPr>
              <w:t xml:space="preserve"> </w:t>
            </w:r>
          </w:p>
        </w:tc>
      </w:tr>
      <w:tr w14:paraId="71C55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2" w:hRule="atLeast"/>
          <w:jc w:val="center"/>
        </w:trPr>
        <w:tc>
          <w:tcPr>
            <w:tcW w:w="1688" w:type="dxa"/>
            <w:vMerge w:val="continue"/>
            <w:shd w:val="clear" w:color="auto" w:fill="auto"/>
            <w:vAlign w:val="center"/>
          </w:tcPr>
          <w:p w14:paraId="11BBC27E">
            <w:pPr>
              <w:spacing w:line="360" w:lineRule="auto"/>
              <w:rPr>
                <w:rFonts w:hint="eastAsia" w:cs="lucida Grande" w:asciiTheme="minorEastAsia" w:hAnsiTheme="minorEastAsia"/>
                <w:color w:val="000000"/>
              </w:rPr>
            </w:pPr>
          </w:p>
        </w:tc>
        <w:tc>
          <w:tcPr>
            <w:tcW w:w="6831" w:type="dxa"/>
            <w:shd w:val="clear" w:color="auto" w:fill="auto"/>
            <w:tcMar>
              <w:left w:w="108" w:type="dxa"/>
              <w:right w:w="108" w:type="dxa"/>
            </w:tcMar>
            <w:vAlign w:val="center"/>
          </w:tcPr>
          <w:p w14:paraId="6B212640">
            <w:pPr>
              <w:widowControl/>
              <w:spacing w:line="360" w:lineRule="auto"/>
              <w:rPr>
                <w:rFonts w:hint="eastAsia" w:cs="宋体" w:asciiTheme="minorEastAsia" w:hAnsiTheme="minorEastAsia"/>
                <w:bCs/>
                <w:color w:val="000000"/>
                <w:lang w:bidi="ar"/>
              </w:rPr>
            </w:pPr>
            <w:r>
              <w:rPr>
                <w:rFonts w:hint="eastAsia" w:cs="宋体" w:asciiTheme="minorEastAsia" w:hAnsiTheme="minorEastAsia"/>
                <w:bCs/>
                <w:color w:val="000000"/>
                <w:lang w:bidi="ar"/>
              </w:rPr>
              <w:t>质量体系认证：通过ISO9001质量管理体系认证证书、ISO/IEC27001信息安全管理体系认证证书</w:t>
            </w:r>
          </w:p>
        </w:tc>
      </w:tr>
      <w:tr w14:paraId="4CA01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2" w:hRule="atLeast"/>
          <w:jc w:val="center"/>
        </w:trPr>
        <w:tc>
          <w:tcPr>
            <w:tcW w:w="1688" w:type="dxa"/>
            <w:vMerge w:val="continue"/>
            <w:shd w:val="clear" w:color="auto" w:fill="auto"/>
            <w:vAlign w:val="center"/>
          </w:tcPr>
          <w:p w14:paraId="3A3CC2A2">
            <w:pPr>
              <w:spacing w:line="360" w:lineRule="auto"/>
              <w:rPr>
                <w:rFonts w:hint="eastAsia" w:cs="lucida Grande" w:asciiTheme="minorEastAsia" w:hAnsiTheme="minorEastAsia"/>
                <w:color w:val="000000"/>
              </w:rPr>
            </w:pPr>
          </w:p>
        </w:tc>
        <w:tc>
          <w:tcPr>
            <w:tcW w:w="6831" w:type="dxa"/>
            <w:shd w:val="clear" w:color="auto" w:fill="auto"/>
            <w:tcMar>
              <w:left w:w="108" w:type="dxa"/>
              <w:right w:w="108" w:type="dxa"/>
            </w:tcMar>
            <w:vAlign w:val="center"/>
          </w:tcPr>
          <w:p w14:paraId="4803960B">
            <w:pPr>
              <w:widowControl/>
              <w:spacing w:line="360" w:lineRule="auto"/>
              <w:rPr>
                <w:rFonts w:hint="eastAsia" w:cs="宋体" w:asciiTheme="minorEastAsia" w:hAnsiTheme="minorEastAsia"/>
                <w:bCs/>
                <w:color w:val="000000"/>
                <w:lang w:bidi="ar"/>
              </w:rPr>
            </w:pPr>
            <w:r>
              <w:rPr>
                <w:rFonts w:hint="eastAsia" w:cs="宋体" w:asciiTheme="minorEastAsia" w:hAnsiTheme="minorEastAsia"/>
                <w:bCs/>
                <w:color w:val="000000"/>
                <w:lang w:bidi="ar"/>
              </w:rPr>
              <w:t>厂商具备信息安全应急处理、集成、运维、风险评估服务等资质认证证书</w:t>
            </w:r>
          </w:p>
        </w:tc>
      </w:tr>
      <w:tr w14:paraId="0A2EA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2" w:hRule="atLeast"/>
          <w:jc w:val="center"/>
        </w:trPr>
        <w:tc>
          <w:tcPr>
            <w:tcW w:w="1688" w:type="dxa"/>
            <w:vMerge w:val="continue"/>
            <w:shd w:val="clear" w:color="auto" w:fill="auto"/>
            <w:vAlign w:val="center"/>
          </w:tcPr>
          <w:p w14:paraId="33DF09A0">
            <w:pPr>
              <w:spacing w:line="360" w:lineRule="auto"/>
              <w:rPr>
                <w:rFonts w:hint="eastAsia" w:cs="lucida Grande" w:asciiTheme="minorEastAsia" w:hAnsiTheme="minorEastAsia"/>
                <w:color w:val="000000"/>
              </w:rPr>
            </w:pPr>
          </w:p>
        </w:tc>
        <w:tc>
          <w:tcPr>
            <w:tcW w:w="6831" w:type="dxa"/>
            <w:shd w:val="clear" w:color="auto" w:fill="auto"/>
            <w:tcMar>
              <w:left w:w="108" w:type="dxa"/>
              <w:right w:w="108" w:type="dxa"/>
            </w:tcMar>
            <w:vAlign w:val="center"/>
          </w:tcPr>
          <w:p w14:paraId="0E811C7D">
            <w:pPr>
              <w:widowControl/>
              <w:spacing w:line="360" w:lineRule="auto"/>
              <w:rPr>
                <w:rFonts w:hint="eastAsia" w:cs="宋体" w:asciiTheme="minorEastAsia" w:hAnsiTheme="minorEastAsia"/>
                <w:bCs/>
                <w:color w:val="000000"/>
                <w:lang w:bidi="ar"/>
              </w:rPr>
            </w:pPr>
            <w:r>
              <w:rPr>
                <w:rFonts w:hint="eastAsia" w:cs="宋体" w:asciiTheme="minorEastAsia" w:hAnsiTheme="minorEastAsia"/>
                <w:bCs/>
                <w:color w:val="000000"/>
                <w:lang w:bidi="ar"/>
              </w:rPr>
              <w:t>以上认证或资质须提供相关证书复印件并加盖厂商公章</w:t>
            </w:r>
          </w:p>
        </w:tc>
      </w:tr>
    </w:tbl>
    <w:p w14:paraId="5AD6D87F">
      <w:pPr>
        <w:pStyle w:val="3"/>
        <w:rPr>
          <w:rFonts w:asciiTheme="minorEastAsia" w:hAnsiTheme="minorEastAsia" w:eastAsia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lucida Grand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252F5D"/>
    <w:multiLevelType w:val="multilevel"/>
    <w:tmpl w:val="3B252F5D"/>
    <w:lvl w:ilvl="0" w:tentative="0">
      <w:start w:val="2"/>
      <w:numFmt w:val="decimal"/>
      <w:lvlText w:val="%1、"/>
      <w:lvlJc w:val="left"/>
      <w:pPr>
        <w:ind w:left="360" w:hanging="360"/>
      </w:pPr>
      <w:rPr>
        <w:rFonts w:hint="default" w:hAnsi="宋体" w:cs="宋体"/>
      </w:rPr>
    </w:lvl>
    <w:lvl w:ilvl="1" w:tentative="0">
      <w:start w:val="1"/>
      <w:numFmt w:val="lowerLetter"/>
      <w:lvlText w:val="%2)"/>
      <w:lvlJc w:val="left"/>
      <w:pPr>
        <w:ind w:left="1920" w:hanging="420"/>
      </w:pPr>
    </w:lvl>
    <w:lvl w:ilvl="2" w:tentative="0">
      <w:start w:val="1"/>
      <w:numFmt w:val="lowerRoman"/>
      <w:lvlText w:val="%3."/>
      <w:lvlJc w:val="right"/>
      <w:pPr>
        <w:ind w:left="2340" w:hanging="420"/>
      </w:pPr>
    </w:lvl>
    <w:lvl w:ilvl="3" w:tentative="0">
      <w:start w:val="1"/>
      <w:numFmt w:val="decimal"/>
      <w:lvlText w:val="%4."/>
      <w:lvlJc w:val="left"/>
      <w:pPr>
        <w:ind w:left="2760" w:hanging="420"/>
      </w:pPr>
    </w:lvl>
    <w:lvl w:ilvl="4" w:tentative="0">
      <w:start w:val="1"/>
      <w:numFmt w:val="lowerLetter"/>
      <w:lvlText w:val="%5)"/>
      <w:lvlJc w:val="left"/>
      <w:pPr>
        <w:ind w:left="3180" w:hanging="420"/>
      </w:pPr>
    </w:lvl>
    <w:lvl w:ilvl="5" w:tentative="0">
      <w:start w:val="1"/>
      <w:numFmt w:val="lowerRoman"/>
      <w:lvlText w:val="%6."/>
      <w:lvlJc w:val="right"/>
      <w:pPr>
        <w:ind w:left="3600" w:hanging="420"/>
      </w:pPr>
    </w:lvl>
    <w:lvl w:ilvl="6" w:tentative="0">
      <w:start w:val="1"/>
      <w:numFmt w:val="decimal"/>
      <w:lvlText w:val="%7."/>
      <w:lvlJc w:val="left"/>
      <w:pPr>
        <w:ind w:left="4020" w:hanging="420"/>
      </w:pPr>
    </w:lvl>
    <w:lvl w:ilvl="7" w:tentative="0">
      <w:start w:val="1"/>
      <w:numFmt w:val="lowerLetter"/>
      <w:lvlText w:val="%8)"/>
      <w:lvlJc w:val="left"/>
      <w:pPr>
        <w:ind w:left="4440" w:hanging="420"/>
      </w:pPr>
    </w:lvl>
    <w:lvl w:ilvl="8" w:tentative="0">
      <w:start w:val="1"/>
      <w:numFmt w:val="lowerRoman"/>
      <w:lvlText w:val="%9."/>
      <w:lvlJc w:val="right"/>
      <w:pPr>
        <w:ind w:left="48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F437AA"/>
    <w:rsid w:val="001E06DB"/>
    <w:rsid w:val="00436786"/>
    <w:rsid w:val="007E790C"/>
    <w:rsid w:val="007F327D"/>
    <w:rsid w:val="00AA37CB"/>
    <w:rsid w:val="00B137FF"/>
    <w:rsid w:val="00BE7DDF"/>
    <w:rsid w:val="00E94AD8"/>
    <w:rsid w:val="00FD0AD0"/>
    <w:rsid w:val="02444710"/>
    <w:rsid w:val="03C350C4"/>
    <w:rsid w:val="04D330E5"/>
    <w:rsid w:val="072A2AF6"/>
    <w:rsid w:val="092E626A"/>
    <w:rsid w:val="0B1C3A38"/>
    <w:rsid w:val="0DD405FA"/>
    <w:rsid w:val="148166BA"/>
    <w:rsid w:val="1B5946A7"/>
    <w:rsid w:val="1C4C57FF"/>
    <w:rsid w:val="1D813BCE"/>
    <w:rsid w:val="26355556"/>
    <w:rsid w:val="2F25085E"/>
    <w:rsid w:val="310E5519"/>
    <w:rsid w:val="345614B9"/>
    <w:rsid w:val="34BB17E6"/>
    <w:rsid w:val="35F437AA"/>
    <w:rsid w:val="360D204B"/>
    <w:rsid w:val="3995038E"/>
    <w:rsid w:val="3AF17846"/>
    <w:rsid w:val="44427364"/>
    <w:rsid w:val="4B38501D"/>
    <w:rsid w:val="4CB66B41"/>
    <w:rsid w:val="4E9904C8"/>
    <w:rsid w:val="517A013D"/>
    <w:rsid w:val="5BAB5397"/>
    <w:rsid w:val="5D755C5D"/>
    <w:rsid w:val="5E2D6B92"/>
    <w:rsid w:val="6FE729EA"/>
    <w:rsid w:val="71303426"/>
    <w:rsid w:val="79B559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Body Text"/>
    <w:basedOn w:val="1"/>
    <w:unhideWhenUsed/>
    <w:qFormat/>
    <w:uiPriority w:val="0"/>
    <w:pPr>
      <w:spacing w:after="120"/>
    </w:pPr>
    <w:rPr>
      <w:rFonts w:ascii="Times New Roman" w:hAnsi="Times New Roman" w:eastAsia="宋体" w:cs="Times New Roman"/>
      <w:szCs w:val="24"/>
    </w:rPr>
  </w:style>
  <w:style w:type="table" w:styleId="6">
    <w:name w:val="Table Grid"/>
    <w:basedOn w:val="5"/>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8">
    <w:name w:val="List Paragraph"/>
    <w:basedOn w:val="1"/>
    <w:qFormat/>
    <w:uiPriority w:val="34"/>
    <w:pPr>
      <w:ind w:firstLine="420" w:firstLineChars="200"/>
    </w:pPr>
  </w:style>
  <w:style w:type="paragraph" w:styleId="9">
    <w:name w:val="No Spacing"/>
    <w:basedOn w:val="1"/>
    <w:qFormat/>
    <w:uiPriority w:val="99"/>
    <w:pPr>
      <w:spacing w:after="0" w:line="240" w:lineRule="auto"/>
    </w:pPr>
  </w:style>
  <w:style w:type="character" w:customStyle="1" w:styleId="10">
    <w:name w:val="NormalCharacter"/>
    <w:link w:val="11"/>
    <w:semiHidden/>
    <w:qFormat/>
    <w:uiPriority w:val="0"/>
    <w:rPr>
      <w:rFonts w:eastAsiaTheme="minorEastAsia"/>
    </w:rPr>
  </w:style>
  <w:style w:type="paragraph" w:customStyle="1" w:styleId="11">
    <w:name w:val="UserStyle_3"/>
    <w:basedOn w:val="1"/>
    <w:link w:val="10"/>
    <w:autoRedefine/>
    <w:qFormat/>
    <w:uiPriority w:val="0"/>
    <w:pPr>
      <w:spacing w:after="160" w:line="240" w:lineRule="exact"/>
    </w:pPr>
    <w:rPr>
      <w:rFonts w:eastAsiaTheme="minorEastAsi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1573</Words>
  <Characters>1600</Characters>
  <Lines>40</Lines>
  <Paragraphs>11</Paragraphs>
  <TotalTime>95</TotalTime>
  <ScaleCrop>false</ScaleCrop>
  <LinksUpToDate>false</LinksUpToDate>
  <CharactersWithSpaces>1600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2025-05-22T09:13:00Z</dcterms:created>
  <dc:creator>yangxd</dc:creator>
  <cp:lastModifiedBy>frankiey</cp:lastModifiedBy>
  <dcterms:modified xsi:type="dcterms:W3CDTF">2025-06-30T09:41:20Z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1F03CEF42E16461C95E82506CAC8F6CC_11</vt:lpwstr>
  </property>
  <property fmtid="{D5CDD505-2E9C-101B-9397-08002B2CF9AE}" pid="4" name="KSOTemplateDocerSaveRecord">
    <vt:lpwstr>eyJoZGlkIjoiOWRjYjgyNjM4YTU2ZTNmMjEyMDUxOGVjMTk1MzNkNWEiLCJ1c2VySWQiOiI2NTc5NzIyNjQifQ==</vt:lpwstr>
  </property>
</Properties>
</file>