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778C87">
      <w:pPr>
        <w:spacing w:beforeLines="50" w:afterLines="50" w:line="360" w:lineRule="auto"/>
        <w:jc w:val="center"/>
        <w:outlineLvl w:val="0"/>
        <w:rPr>
          <w:color w:val="FF0000"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党风廉政和反腐败系统用户需求书</w:t>
      </w:r>
    </w:p>
    <w:p w14:paraId="221FA3A3">
      <w:pPr>
        <w:numPr>
          <w:numId w:val="0"/>
        </w:numPr>
        <w:snapToGrid w:val="0"/>
        <w:spacing w:line="360" w:lineRule="auto"/>
        <w:ind w:leftChars="0"/>
        <w:rPr>
          <w:rFonts w:ascii="宋体" w:hAnsi="宋体"/>
          <w:b/>
          <w:bCs/>
          <w:szCs w:val="21"/>
        </w:rPr>
      </w:pPr>
      <w:bookmarkStart w:id="0" w:name="_GoBack"/>
      <w:bookmarkEnd w:id="0"/>
      <w:r>
        <w:rPr>
          <w:rFonts w:hint="eastAsia" w:ascii="宋体" w:hAnsi="宋体"/>
          <w:b/>
          <w:bCs/>
          <w:szCs w:val="21"/>
        </w:rPr>
        <w:t>响应供应商须对本项目进行整体响应，任何只对其中一部分进行的响应都被视为无效响应。</w:t>
      </w:r>
    </w:p>
    <w:p w14:paraId="4E8D1EDD">
      <w:pPr>
        <w:pStyle w:val="6"/>
        <w:tabs>
          <w:tab w:val="left" w:pos="420"/>
          <w:tab w:val="left" w:pos="540"/>
        </w:tabs>
        <w:adjustRightInd w:val="0"/>
        <w:snapToGrid w:val="0"/>
        <w:spacing w:line="360" w:lineRule="auto"/>
        <w:rPr>
          <w:rFonts w:hAnsi="宋体"/>
          <w:b/>
          <w:bCs/>
          <w:sz w:val="21"/>
        </w:rPr>
      </w:pPr>
      <w:r>
        <w:rPr>
          <w:rFonts w:hint="eastAsia" w:hAnsi="宋体"/>
          <w:b/>
          <w:bCs/>
          <w:sz w:val="21"/>
        </w:rPr>
        <w:t>一、项目一览表</w:t>
      </w:r>
    </w:p>
    <w:tbl>
      <w:tblPr>
        <w:tblStyle w:val="8"/>
        <w:tblW w:w="948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6"/>
        <w:gridCol w:w="1075"/>
        <w:gridCol w:w="3827"/>
        <w:gridCol w:w="1985"/>
      </w:tblGrid>
      <w:tr w14:paraId="0A78B2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2596" w:type="dxa"/>
            <w:shd w:val="clear" w:color="auto" w:fill="EEECE1"/>
            <w:vAlign w:val="center"/>
          </w:tcPr>
          <w:p w14:paraId="2B9D733C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项目名称</w:t>
            </w:r>
          </w:p>
        </w:tc>
        <w:tc>
          <w:tcPr>
            <w:tcW w:w="1075" w:type="dxa"/>
            <w:shd w:val="clear" w:color="auto" w:fill="EEECE1"/>
          </w:tcPr>
          <w:p w14:paraId="5454A97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数量</w:t>
            </w:r>
          </w:p>
        </w:tc>
        <w:tc>
          <w:tcPr>
            <w:tcW w:w="3827" w:type="dxa"/>
            <w:shd w:val="clear" w:color="auto" w:fill="EEECE1"/>
            <w:vAlign w:val="center"/>
          </w:tcPr>
          <w:p w14:paraId="1DFDCFB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完成期</w:t>
            </w:r>
          </w:p>
        </w:tc>
        <w:tc>
          <w:tcPr>
            <w:tcW w:w="1985" w:type="dxa"/>
            <w:shd w:val="clear" w:color="auto" w:fill="EEECE1"/>
            <w:vAlign w:val="center"/>
          </w:tcPr>
          <w:p w14:paraId="5124A16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最高限价</w:t>
            </w:r>
          </w:p>
        </w:tc>
      </w:tr>
      <w:tr w14:paraId="3BA98F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  <w:jc w:val="center"/>
        </w:trPr>
        <w:tc>
          <w:tcPr>
            <w:tcW w:w="2596" w:type="dxa"/>
            <w:vAlign w:val="center"/>
          </w:tcPr>
          <w:p w14:paraId="5DB17425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华文仿宋"/>
                <w:color w:val="000000"/>
                <w:szCs w:val="21"/>
                <w:lang w:val="en-US" w:eastAsia="zh-CN"/>
              </w:rPr>
              <w:t>深圳市中医肛肠医院（福田）党风廉政和反腐败系统</w:t>
            </w:r>
          </w:p>
        </w:tc>
        <w:tc>
          <w:tcPr>
            <w:tcW w:w="1075" w:type="dxa"/>
            <w:vAlign w:val="center"/>
          </w:tcPr>
          <w:p w14:paraId="693F4C61">
            <w:pPr>
              <w:pStyle w:val="12"/>
              <w:spacing w:line="360" w:lineRule="auto"/>
              <w:ind w:right="-82" w:rightChars="-39" w:hanging="54"/>
              <w:rPr>
                <w:rFonts w:ascii="宋体" w:hAnsi="宋体"/>
                <w:bCs/>
                <w:color w:val="000000"/>
                <w:spacing w:val="0"/>
                <w:kern w:val="2"/>
                <w:sz w:val="21"/>
                <w:szCs w:val="21"/>
              </w:rPr>
            </w:pPr>
            <w:r>
              <w:rPr>
                <w:rFonts w:ascii="宋体" w:hAnsi="宋体"/>
                <w:bCs/>
                <w:color w:val="000000"/>
                <w:spacing w:val="0"/>
                <w:kern w:val="2"/>
                <w:sz w:val="21"/>
                <w:szCs w:val="21"/>
              </w:rPr>
              <w:t>1</w:t>
            </w:r>
            <w:r>
              <w:rPr>
                <w:rFonts w:hint="eastAsia" w:ascii="宋体" w:hAnsi="宋体"/>
                <w:bCs/>
                <w:color w:val="000000"/>
                <w:spacing w:val="0"/>
                <w:kern w:val="2"/>
                <w:sz w:val="21"/>
                <w:szCs w:val="21"/>
              </w:rPr>
              <w:t>套</w:t>
            </w:r>
          </w:p>
        </w:tc>
        <w:tc>
          <w:tcPr>
            <w:tcW w:w="3827" w:type="dxa"/>
            <w:vAlign w:val="center"/>
          </w:tcPr>
          <w:p w14:paraId="12AECECC">
            <w:pPr>
              <w:pStyle w:val="12"/>
              <w:spacing w:line="360" w:lineRule="auto"/>
              <w:ind w:right="-82" w:rightChars="-39" w:hanging="54"/>
              <w:rPr>
                <w:rFonts w:ascii="宋体" w:hAnsi="宋体"/>
                <w:spacing w:val="0"/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0"/>
                <w:kern w:val="2"/>
                <w:sz w:val="21"/>
                <w:szCs w:val="21"/>
              </w:rPr>
              <w:t>自合同签订之日起</w:t>
            </w:r>
            <w:r>
              <w:rPr>
                <w:rFonts w:hint="eastAsia" w:ascii="宋体" w:hAnsi="宋体"/>
                <w:color w:val="000000"/>
                <w:spacing w:val="0"/>
                <w:kern w:val="2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color w:val="000000"/>
                <w:spacing w:val="0"/>
                <w:kern w:val="2"/>
                <w:sz w:val="21"/>
                <w:szCs w:val="21"/>
                <w:u w:val="single"/>
                <w:lang w:val="en-US" w:eastAsia="zh-CN"/>
              </w:rPr>
              <w:t>9</w:t>
            </w:r>
            <w:r>
              <w:rPr>
                <w:rFonts w:hint="eastAsia" w:ascii="宋体" w:hAnsi="宋体"/>
                <w:color w:val="000000"/>
                <w:spacing w:val="0"/>
                <w:kern w:val="2"/>
                <w:sz w:val="21"/>
                <w:szCs w:val="21"/>
                <w:u w:val="single"/>
              </w:rPr>
              <w:t>0</w:t>
            </w:r>
            <w:r>
              <w:rPr>
                <w:rFonts w:hint="eastAsia" w:ascii="宋体" w:hAnsi="宋体"/>
                <w:color w:val="000000"/>
                <w:spacing w:val="0"/>
                <w:kern w:val="2"/>
                <w:sz w:val="21"/>
                <w:szCs w:val="21"/>
              </w:rPr>
              <w:t>日历天内，</w:t>
            </w:r>
            <w:r>
              <w:rPr>
                <w:rFonts w:hint="eastAsia" w:ascii="宋体" w:hAnsi="宋体"/>
                <w:color w:val="000000"/>
                <w:spacing w:val="0"/>
                <w:kern w:val="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 w:val="21"/>
                <w:szCs w:val="21"/>
              </w:rPr>
              <w:t>天内完成需求调研；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 w:cs="宋体"/>
                <w:sz w:val="21"/>
                <w:szCs w:val="21"/>
              </w:rPr>
              <w:t>天内完成系统上线。</w:t>
            </w:r>
          </w:p>
        </w:tc>
        <w:tc>
          <w:tcPr>
            <w:tcW w:w="1985" w:type="dxa"/>
            <w:vAlign w:val="center"/>
          </w:tcPr>
          <w:p w14:paraId="7DA590A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人民</w:t>
            </w:r>
            <w:r>
              <w:rPr>
                <w:rFonts w:ascii="宋体" w:hAnsi="宋体"/>
                <w:szCs w:val="21"/>
              </w:rPr>
              <w:t>币</w:t>
            </w: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50</w:t>
            </w:r>
            <w:r>
              <w:rPr>
                <w:rFonts w:ascii="宋体" w:hAnsi="宋体" w:cs="宋体"/>
                <w:kern w:val="0"/>
                <w:szCs w:val="21"/>
              </w:rPr>
              <w:t>000</w:t>
            </w:r>
            <w:r>
              <w:rPr>
                <w:rFonts w:ascii="宋体" w:hAnsi="宋体"/>
                <w:szCs w:val="21"/>
              </w:rPr>
              <w:t>元</w:t>
            </w:r>
          </w:p>
        </w:tc>
      </w:tr>
    </w:tbl>
    <w:p w14:paraId="7C18FA09">
      <w:pPr>
        <w:pStyle w:val="6"/>
        <w:numPr>
          <w:ilvl w:val="3"/>
          <w:numId w:val="1"/>
        </w:numPr>
        <w:tabs>
          <w:tab w:val="left" w:pos="420"/>
          <w:tab w:val="left" w:pos="540"/>
        </w:tabs>
        <w:adjustRightInd w:val="0"/>
        <w:snapToGrid w:val="0"/>
        <w:spacing w:line="360" w:lineRule="auto"/>
        <w:rPr>
          <w:rFonts w:hAnsi="宋体"/>
          <w:b/>
          <w:sz w:val="21"/>
        </w:rPr>
      </w:pPr>
      <w:r>
        <w:rPr>
          <w:rFonts w:hint="eastAsia" w:hAnsi="宋体"/>
          <w:b/>
          <w:sz w:val="21"/>
        </w:rPr>
        <w:t>项目概述</w:t>
      </w:r>
    </w:p>
    <w:p w14:paraId="0B7BB6AC">
      <w:pPr>
        <w:spacing w:line="360" w:lineRule="auto"/>
        <w:ind w:firstLine="420" w:firstLineChars="200"/>
      </w:pPr>
      <w:r>
        <w:rPr>
          <w:rFonts w:hint="eastAsia"/>
        </w:rPr>
        <w:t>根据中央纪委《关于加强廉政风险防控的指导意见》、国家卫健委《关于加强公立医院廉洁风险防控的指导意见》、中共中央办公厅《关于加强公立医院党的建设工作的意见》等文件要求，把党的领导融入医院管理各个环节，加强医院党风廉政建设和行风建设，通过信息化软件和移动互联网技术实现创新型、科学化、精细化管理，构建采购单位廉政风险防控平台。</w:t>
      </w:r>
    </w:p>
    <w:p w14:paraId="228347B8">
      <w:pPr>
        <w:pStyle w:val="13"/>
        <w:numPr>
          <w:ilvl w:val="3"/>
          <w:numId w:val="1"/>
        </w:numPr>
        <w:spacing w:line="360" w:lineRule="auto"/>
        <w:ind w:firstLineChars="0"/>
        <w:rPr>
          <w:rFonts w:ascii="Arial" w:hAnsi="Arial"/>
          <w:b/>
          <w:bCs/>
        </w:rPr>
      </w:pPr>
      <w:r>
        <w:rPr>
          <w:rFonts w:hint="eastAsia" w:ascii="Arial" w:hAnsi="Arial"/>
          <w:b/>
          <w:bCs/>
        </w:rPr>
        <w:t>报价要求</w:t>
      </w:r>
    </w:p>
    <w:p w14:paraId="62F60702">
      <w:pPr>
        <w:pStyle w:val="13"/>
        <w:spacing w:line="360" w:lineRule="auto"/>
        <w:ind w:left="592" w:firstLine="0" w:firstLineChars="0"/>
        <w:rPr>
          <w:rFonts w:ascii="宋体" w:hAnsi="宋体"/>
        </w:rPr>
      </w:pPr>
      <w:r>
        <w:rPr>
          <w:rFonts w:hint="eastAsia" w:ascii="宋体" w:hAnsi="宋体"/>
          <w:szCs w:val="24"/>
        </w:rPr>
        <w:t>★本项目预算控制金额为</w:t>
      </w:r>
      <w:r>
        <w:rPr>
          <w:rFonts w:ascii="宋体" w:hAnsi="宋体"/>
          <w:color w:val="000000"/>
          <w:szCs w:val="21"/>
        </w:rPr>
        <w:t>人民</w:t>
      </w:r>
      <w:r>
        <w:rPr>
          <w:rFonts w:ascii="宋体" w:hAnsi="宋体"/>
          <w:szCs w:val="21"/>
        </w:rPr>
        <w:t>币</w:t>
      </w:r>
      <w:r>
        <w:rPr>
          <w:rFonts w:ascii="宋体" w:hAnsi="宋体" w:cs="宋体"/>
          <w:kern w:val="0"/>
          <w:szCs w:val="21"/>
        </w:rPr>
        <w:t>1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50</w:t>
      </w:r>
      <w:r>
        <w:rPr>
          <w:rFonts w:ascii="宋体" w:hAnsi="宋体" w:cs="宋体"/>
          <w:kern w:val="0"/>
          <w:szCs w:val="21"/>
        </w:rPr>
        <w:t>000</w:t>
      </w:r>
      <w:r>
        <w:rPr>
          <w:rFonts w:ascii="宋体" w:hAnsi="宋体"/>
          <w:szCs w:val="21"/>
        </w:rPr>
        <w:t>元</w:t>
      </w:r>
      <w:r>
        <w:rPr>
          <w:rFonts w:hint="eastAsia" w:ascii="宋体" w:hAnsi="宋体"/>
          <w:szCs w:val="24"/>
        </w:rPr>
        <w:t>，投标报价超出项目预算控制金额的将作投标无效处理。响应</w:t>
      </w:r>
      <w:r>
        <w:rPr>
          <w:rFonts w:ascii="宋体" w:hAnsi="宋体"/>
          <w:szCs w:val="24"/>
        </w:rPr>
        <w:t>总价必须是完成该项目的一切费用总和，包括人工费、保险费、管理费、技术培训费、设备安装费、调试费、售后服务费、</w:t>
      </w:r>
      <w:r>
        <w:rPr>
          <w:rFonts w:hint="eastAsia" w:ascii="宋体" w:hAnsi="宋体"/>
          <w:szCs w:val="24"/>
          <w:lang w:val="en-US" w:eastAsia="zh-CN"/>
        </w:rPr>
        <w:t>系统接口费、</w:t>
      </w:r>
      <w:r>
        <w:rPr>
          <w:rFonts w:ascii="宋体" w:hAnsi="宋体"/>
          <w:szCs w:val="24"/>
        </w:rPr>
        <w:t>国家规定的各项税费等全部费用</w:t>
      </w:r>
      <w:r>
        <w:rPr>
          <w:rFonts w:hint="eastAsia" w:ascii="宋体" w:hAnsi="宋体"/>
          <w:szCs w:val="24"/>
        </w:rPr>
        <w:t>。</w:t>
      </w:r>
    </w:p>
    <w:p w14:paraId="2121CAD4">
      <w:pPr>
        <w:pStyle w:val="6"/>
        <w:tabs>
          <w:tab w:val="left" w:pos="420"/>
          <w:tab w:val="left" w:pos="540"/>
        </w:tabs>
        <w:adjustRightInd w:val="0"/>
        <w:snapToGrid w:val="0"/>
        <w:spacing w:line="360" w:lineRule="auto"/>
        <w:rPr>
          <w:rFonts w:hAnsi="宋体"/>
          <w:b/>
          <w:sz w:val="21"/>
        </w:rPr>
      </w:pPr>
      <w:r>
        <w:rPr>
          <w:rFonts w:hAnsi="宋体"/>
          <w:b/>
          <w:sz w:val="21"/>
        </w:rPr>
        <w:t>四、技术要求</w:t>
      </w:r>
    </w:p>
    <w:tbl>
      <w:tblPr>
        <w:tblStyle w:val="9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701"/>
        <w:gridCol w:w="5862"/>
      </w:tblGrid>
      <w:tr w14:paraId="233F30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 w14:paraId="11FC65C3">
            <w:pPr>
              <w:jc w:val="center"/>
              <w:rPr>
                <w:rFonts w:ascii="宋体" w:hAnsi="宋体" w:cs="宋体"/>
                <w:b/>
                <w:spacing w:val="8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spacing w:val="8"/>
                <w:szCs w:val="21"/>
                <w:shd w:val="clear" w:color="auto" w:fill="FFFFFF"/>
              </w:rPr>
              <w:t>序号</w:t>
            </w:r>
          </w:p>
        </w:tc>
        <w:tc>
          <w:tcPr>
            <w:tcW w:w="1701" w:type="dxa"/>
            <w:vAlign w:val="center"/>
          </w:tcPr>
          <w:p w14:paraId="53A6C1CF">
            <w:pPr>
              <w:jc w:val="center"/>
              <w:rPr>
                <w:rFonts w:ascii="宋体" w:hAnsi="宋体" w:cs="宋体"/>
                <w:b/>
                <w:spacing w:val="8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spacing w:val="8"/>
                <w:szCs w:val="21"/>
                <w:shd w:val="clear" w:color="auto" w:fill="FFFFFF"/>
              </w:rPr>
              <w:t>功能模块</w:t>
            </w:r>
          </w:p>
        </w:tc>
        <w:tc>
          <w:tcPr>
            <w:tcW w:w="5862" w:type="dxa"/>
            <w:vAlign w:val="center"/>
          </w:tcPr>
          <w:p w14:paraId="4A8F82FA">
            <w:pPr>
              <w:jc w:val="center"/>
              <w:rPr>
                <w:rFonts w:ascii="宋体" w:hAnsi="宋体" w:cs="宋体"/>
                <w:b/>
                <w:spacing w:val="8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spacing w:val="8"/>
                <w:szCs w:val="21"/>
                <w:shd w:val="clear" w:color="auto" w:fill="FFFFFF"/>
              </w:rPr>
              <w:t>技术参数</w:t>
            </w:r>
          </w:p>
        </w:tc>
      </w:tr>
      <w:tr w14:paraId="57609A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 w14:paraId="599BC6C3">
            <w:pPr>
              <w:adjustRightIn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14:paraId="5028F47D">
            <w:pPr>
              <w:adjustRightIn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廉洁教育</w:t>
            </w:r>
          </w:p>
        </w:tc>
        <w:tc>
          <w:tcPr>
            <w:tcW w:w="5862" w:type="dxa"/>
            <w:vAlign w:val="center"/>
          </w:tcPr>
          <w:p w14:paraId="39F6AC5E">
            <w:pPr>
              <w:adjustRightInd w:val="0"/>
              <w:rPr>
                <w:rFonts w:ascii="宋体" w:hAnsi="宋体" w:cs="宋体"/>
                <w:spacing w:val="8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  <w:t>满足医院通过互联网+等技术建立新形式的医院党风廉政、廉洁宣传警示教育的工作要求</w:t>
            </w:r>
          </w:p>
          <w:p w14:paraId="1A0E6498">
            <w:pPr>
              <w:adjustRightInd w:val="0"/>
              <w:rPr>
                <w:rFonts w:ascii="宋体" w:hAnsi="宋体" w:cs="宋体"/>
                <w:spacing w:val="8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  <w:t>支持廉洁教育栏目灵活配置功能</w:t>
            </w:r>
          </w:p>
          <w:p w14:paraId="16309830">
            <w:pPr>
              <w:adjustRightInd w:val="0"/>
              <w:rPr>
                <w:rFonts w:ascii="宋体" w:hAnsi="宋体" w:cs="宋体"/>
                <w:spacing w:val="8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  <w:t>支持视频、文案、漫画等多种形式的宣教内容</w:t>
            </w:r>
          </w:p>
          <w:p w14:paraId="72838D0E">
            <w:pPr>
              <w:adjustRightInd w:val="0"/>
              <w:rPr>
                <w:rFonts w:ascii="宋体" w:hAnsi="宋体" w:cs="宋体"/>
                <w:spacing w:val="8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  <w:t>支持宣教内容编辑暂存功能</w:t>
            </w:r>
          </w:p>
          <w:p w14:paraId="2374FDA2">
            <w:pPr>
              <w:adjustRightInd w:val="0"/>
              <w:rPr>
                <w:rFonts w:ascii="宋体" w:hAnsi="宋体" w:cs="宋体"/>
                <w:spacing w:val="8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  <w:t>支持警示教育内容</w:t>
            </w:r>
            <w:r>
              <w:rPr>
                <w:rFonts w:hint="eastAsia" w:ascii="宋体" w:hAnsi="宋体" w:cs="宋体"/>
                <w:szCs w:val="21"/>
              </w:rPr>
              <w:t>推送至</w:t>
            </w: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  <w:t>指定</w:t>
            </w:r>
            <w:r>
              <w:rPr>
                <w:rFonts w:hint="eastAsia" w:ascii="宋体" w:hAnsi="宋体" w:cs="宋体"/>
                <w:szCs w:val="21"/>
              </w:rPr>
              <w:t>科室或人员</w:t>
            </w: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  <w:t>进行针对性推送学习</w:t>
            </w:r>
          </w:p>
          <w:p w14:paraId="1ADD9F1A">
            <w:pPr>
              <w:adjustRightInd w:val="0"/>
              <w:rPr>
                <w:rFonts w:ascii="宋体" w:hAnsi="宋体" w:cs="宋体"/>
                <w:spacing w:val="8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  <w:t>支持在学习完成后获得个人学分</w:t>
            </w:r>
          </w:p>
          <w:p w14:paraId="331AD3CD">
            <w:pPr>
              <w:adjustRightInd w:val="0"/>
              <w:rPr>
                <w:rFonts w:ascii="宋体" w:hAnsi="宋体" w:cs="宋体"/>
                <w:spacing w:val="8"/>
                <w:szCs w:val="21"/>
                <w:shd w:val="clear" w:color="auto" w:fill="FFFFFF"/>
              </w:rPr>
            </w:pPr>
            <w:r>
              <w:rPr>
                <w:rFonts w:ascii="宋体" w:hAnsi="宋体" w:cs="宋体"/>
                <w:spacing w:val="8"/>
                <w:szCs w:val="21"/>
                <w:shd w:val="clear" w:color="auto" w:fill="FFFFFF"/>
              </w:rPr>
              <w:t>在学习完成后可选择是否提交“微心得”，提示撰写心得可另外获得学分，支持统计和导出心得内容</w:t>
            </w:r>
          </w:p>
          <w:p w14:paraId="75E52FBC">
            <w:pPr>
              <w:adjustRightInd w:val="0"/>
              <w:rPr>
                <w:rFonts w:ascii="宋体" w:hAnsi="宋体" w:cs="宋体"/>
                <w:spacing w:val="8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  <w:t>支持内容应学习时长设置功能</w:t>
            </w:r>
          </w:p>
          <w:p w14:paraId="33F17D08">
            <w:pPr>
              <w:adjustRightInd w:val="0"/>
              <w:rPr>
                <w:rFonts w:ascii="宋体" w:hAnsi="宋体" w:cs="宋体"/>
                <w:spacing w:val="8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szCs w:val="21"/>
              </w:rPr>
              <w:t>▲</w:t>
            </w: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  <w:t>支持职工通过网页、企业微信等多个移动终端在线完成廉政警示教育学习内容</w:t>
            </w:r>
          </w:p>
          <w:p w14:paraId="0811C4BB">
            <w:pPr>
              <w:adjustRightInd w:val="0"/>
              <w:rPr>
                <w:rFonts w:ascii="宋体" w:hAnsi="宋体" w:cs="宋体"/>
                <w:spacing w:val="8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  <w:t>支持职工个人学习任务及学习记录查询汇总功能</w:t>
            </w:r>
          </w:p>
          <w:p w14:paraId="6F7FF5A1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▲</w:t>
            </w:r>
            <w:r>
              <w:rPr>
                <w:rFonts w:hint="eastAsia" w:ascii="宋体" w:hAnsi="宋体"/>
                <w:szCs w:val="21"/>
              </w:rPr>
              <w:t>廉洁教育数据支持对接医德医风系统进行展示。</w:t>
            </w:r>
          </w:p>
          <w:p w14:paraId="5F0ED394">
            <w:pPr>
              <w:adjustRightInd w:val="0"/>
              <w:rPr>
                <w:rFonts w:ascii="宋体" w:hAnsi="宋体" w:cs="宋体"/>
                <w:spacing w:val="8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  <w:t>支持用户访问学习完成情况、学习时长可追溯功能</w:t>
            </w:r>
          </w:p>
        </w:tc>
      </w:tr>
      <w:tr w14:paraId="12E7EB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 w14:paraId="59AA6BCD">
            <w:pPr>
              <w:adjustRightIn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1701" w:type="dxa"/>
            <w:vAlign w:val="center"/>
          </w:tcPr>
          <w:p w14:paraId="67711C5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  <w:t>廉洁测评</w:t>
            </w:r>
          </w:p>
        </w:tc>
        <w:tc>
          <w:tcPr>
            <w:tcW w:w="5862" w:type="dxa"/>
            <w:vAlign w:val="center"/>
          </w:tcPr>
          <w:p w14:paraId="05C447F4"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支持线上廉洁测评功能。</w:t>
            </w:r>
          </w:p>
          <w:p w14:paraId="5258A06E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支持试卷试题、等级标准、测评时间等动态管理与维护</w:t>
            </w:r>
          </w:p>
          <w:p w14:paraId="531BBF04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支持测评任务延长结束时间</w:t>
            </w:r>
          </w:p>
          <w:p w14:paraId="1A24BF7C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支持廉洁测评题库、试题手动维护管理和批量导入功能</w:t>
            </w:r>
          </w:p>
          <w:p w14:paraId="2D52AC55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支持测评任务指定性推送至相关科室或人员</w:t>
            </w:r>
          </w:p>
          <w:p w14:paraId="78BF65F9">
            <w:pPr>
              <w:adjustRightInd w:val="0"/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  <w:t>支持在测评完成后获得个人学分</w:t>
            </w:r>
          </w:p>
          <w:p w14:paraId="366F1D46">
            <w:pPr>
              <w:adjustRightInd w:val="0"/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  <w:t>支持测评任务指定性推送至相关科室或人员</w:t>
            </w:r>
          </w:p>
          <w:p w14:paraId="4AFE9642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支持测评完成进度跟踪、测评结果统计报告功能</w:t>
            </w:r>
          </w:p>
          <w:p w14:paraId="763271DD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▲支持职工通过网页、企业微信等多个移动终端在线完成测评和个人测评历史记录查询</w:t>
            </w:r>
          </w:p>
        </w:tc>
      </w:tr>
      <w:tr w14:paraId="5FD413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 w14:paraId="0AB22BD8">
            <w:pPr>
              <w:adjustRightIn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1701" w:type="dxa"/>
            <w:vAlign w:val="center"/>
          </w:tcPr>
          <w:p w14:paraId="7BA58EC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  <w:t>个人学分</w:t>
            </w:r>
          </w:p>
        </w:tc>
        <w:tc>
          <w:tcPr>
            <w:tcW w:w="5862" w:type="dxa"/>
            <w:vAlign w:val="center"/>
          </w:tcPr>
          <w:p w14:paraId="0AFC0800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个人学分模块统计年度学习教育及知识测评分数</w:t>
            </w:r>
          </w:p>
          <w:p w14:paraId="75BF7B01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支持配置获取学分项目</w:t>
            </w:r>
          </w:p>
          <w:p w14:paraId="33733F9E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支持生成个人本年学分</w:t>
            </w:r>
          </w:p>
          <w:p w14:paraId="0E05C879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支持查看历年学分</w:t>
            </w:r>
          </w:p>
          <w:p w14:paraId="78C18B83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支持纪检监察部门登记、申报加分项</w:t>
            </w:r>
          </w:p>
          <w:p w14:paraId="62D0EF46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支持多条件统计分析学分情况</w:t>
            </w:r>
          </w:p>
          <w:p w14:paraId="4D5E9079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支持纪检监察部门根据不同岗位廉政风险等级设置年度总学分，可向学分未达标的个人推送信息提醒</w:t>
            </w:r>
          </w:p>
        </w:tc>
      </w:tr>
      <w:tr w14:paraId="04781C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 w14:paraId="6D9AAFE8">
            <w:pPr>
              <w:adjustRightIn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1701" w:type="dxa"/>
            <w:vAlign w:val="center"/>
          </w:tcPr>
          <w:p w14:paraId="284D56E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廉洁承诺书管理</w:t>
            </w:r>
          </w:p>
        </w:tc>
        <w:tc>
          <w:tcPr>
            <w:tcW w:w="5862" w:type="dxa"/>
            <w:vAlign w:val="center"/>
          </w:tcPr>
          <w:p w14:paraId="14F26A1D">
            <w:pPr>
              <w:rPr>
                <w:rFonts w:ascii="宋体" w:hAnsi="宋体" w:cs="宋体"/>
                <w:spacing w:val="8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  <w:t>支持承诺书管理模块，包括不限于党风廉政建设责任书、医务人员廉洁行医承诺书</w:t>
            </w: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  <w:lang w:eastAsia="zh-CN"/>
              </w:rPr>
              <w:t>、</w:t>
            </w: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  <w:t>安全责任承诺书</w:t>
            </w:r>
          </w:p>
          <w:p w14:paraId="3C1DDC1D">
            <w:pPr>
              <w:rPr>
                <w:rFonts w:ascii="宋体" w:hAnsi="宋体" w:cs="宋体"/>
                <w:spacing w:val="8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szCs w:val="21"/>
              </w:rPr>
              <w:t>▲</w:t>
            </w: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  <w:t>支持廉洁从医“六不”承诺书在线签订</w:t>
            </w:r>
          </w:p>
          <w:p w14:paraId="4A794183">
            <w:pPr>
              <w:rPr>
                <w:rFonts w:ascii="宋体" w:hAnsi="宋体" w:cs="宋体"/>
                <w:spacing w:val="8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  <w:t>支持签订的承诺书内容模板化管理</w:t>
            </w:r>
          </w:p>
          <w:p w14:paraId="6DE6DF8F">
            <w:pPr>
              <w:rPr>
                <w:rFonts w:ascii="宋体" w:hAnsi="宋体" w:cs="宋体"/>
                <w:spacing w:val="8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  <w:t>支持签名活动任务完成进度跟踪，完成情况导出</w:t>
            </w:r>
          </w:p>
          <w:p w14:paraId="3B4450C5">
            <w:pPr>
              <w:rPr>
                <w:rFonts w:ascii="宋体" w:hAnsi="宋体" w:cs="宋体"/>
                <w:spacing w:val="8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szCs w:val="21"/>
              </w:rPr>
              <w:t>▲</w:t>
            </w: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  <w:t>支持签名流程可配置管理承诺书</w:t>
            </w:r>
          </w:p>
          <w:p w14:paraId="18F95630">
            <w:pPr>
              <w:rPr>
                <w:rFonts w:ascii="宋体" w:hAnsi="宋体" w:cs="宋体"/>
                <w:spacing w:val="8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  <w:t>支持签名回退重新签名功能承诺书</w:t>
            </w:r>
          </w:p>
          <w:p w14:paraId="55B8FF8F">
            <w:pPr>
              <w:rPr>
                <w:rFonts w:ascii="宋体" w:hAnsi="宋体" w:cs="宋体"/>
                <w:spacing w:val="8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  <w:t>支持签名人员管理</w:t>
            </w:r>
          </w:p>
          <w:p w14:paraId="2575DBB9">
            <w:pPr>
              <w:rPr>
                <w:rFonts w:ascii="宋体" w:hAnsi="宋体" w:cs="宋体"/>
                <w:spacing w:val="8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  <w:t>支持已签承诺书在线查询、打印承诺书功能</w:t>
            </w:r>
          </w:p>
          <w:p w14:paraId="0E08AB65">
            <w:pPr>
              <w:rPr>
                <w:rFonts w:ascii="宋体" w:hAnsi="宋体" w:cs="宋体"/>
                <w:spacing w:val="8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  <w:t>支持已签承诺书档案管理功能承诺书</w:t>
            </w:r>
          </w:p>
          <w:p w14:paraId="063BC4A5"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支持职工通过系统、企业微信等多个终端查询承诺书签名任务并支持掌上签订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和实时查询获取个人签名记录</w:t>
            </w:r>
          </w:p>
        </w:tc>
      </w:tr>
      <w:tr w14:paraId="1EC969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 w14:paraId="38DE5CF4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2A6082">
            <w:pPr>
              <w:rPr>
                <w:rFonts w:hint="eastAsia" w:ascii="宋体" w:hAnsi="宋体" w:cs="宋体"/>
                <w:spacing w:val="8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  <w:lang w:val="en-US" w:eastAsia="zh-CN"/>
              </w:rPr>
              <w:t>个人事项报告</w:t>
            </w:r>
          </w:p>
          <w:p w14:paraId="01EBC49C">
            <w:pPr>
              <w:rPr>
                <w:rFonts w:hint="eastAsia" w:ascii="宋体" w:hAnsi="宋体" w:cs="宋体"/>
                <w:spacing w:val="8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  <w:lang w:val="en-US" w:eastAsia="zh-CN"/>
              </w:rPr>
              <w:t>述职述廉报告</w:t>
            </w:r>
          </w:p>
        </w:tc>
        <w:tc>
          <w:tcPr>
            <w:tcW w:w="5862" w:type="dxa"/>
            <w:shd w:val="clear" w:color="auto" w:fill="auto"/>
            <w:vAlign w:val="center"/>
          </w:tcPr>
          <w:p w14:paraId="7C07CD02">
            <w:pP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  <w:t>支持个人重大事项在线申报审核审批功能。</w:t>
            </w:r>
          </w:p>
          <w:p w14:paraId="0AD33954">
            <w:pPr>
              <w:rPr>
                <w:rFonts w:hint="eastAsia" w:ascii="宋体" w:hAnsi="宋体" w:cs="宋体"/>
                <w:spacing w:val="8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  <w:t>支持个人</w:t>
            </w: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  <w:lang w:val="en-US" w:eastAsia="zh-CN"/>
              </w:rPr>
              <w:t>述职述廉</w:t>
            </w: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  <w:t>在线申报审核审批功能。</w:t>
            </w:r>
          </w:p>
        </w:tc>
      </w:tr>
      <w:tr w14:paraId="6806C8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 w14:paraId="0172D6BB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90A69F">
            <w:pPr>
              <w:rPr>
                <w:rFonts w:hint="eastAsia" w:ascii="宋体" w:hAnsi="宋体" w:cs="宋体"/>
                <w:spacing w:val="8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  <w:lang w:val="en-US" w:eastAsia="zh-CN"/>
              </w:rPr>
              <w:t>风险自查自纠</w:t>
            </w:r>
          </w:p>
        </w:tc>
        <w:tc>
          <w:tcPr>
            <w:tcW w:w="5862" w:type="dxa"/>
            <w:shd w:val="clear" w:color="auto" w:fill="auto"/>
            <w:vAlign w:val="center"/>
          </w:tcPr>
          <w:p w14:paraId="2BB32B58">
            <w:pP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  <w:t>支持科室录入或导入每年设备耗材采购情况、设备效益分析汇总</w:t>
            </w:r>
          </w:p>
          <w:p w14:paraId="792927EC">
            <w:pP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  <w:t>支持监察部门采集上述信息并打印</w:t>
            </w:r>
          </w:p>
          <w:p w14:paraId="550523D5">
            <w:pP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  <w:t>支持科室录入或导入科室“小金库”自查自纠情况；</w:t>
            </w:r>
          </w:p>
          <w:p w14:paraId="64022E44">
            <w:pPr>
              <w:rPr>
                <w:rFonts w:hint="eastAsia" w:ascii="宋体" w:hAnsi="宋体" w:cs="宋体"/>
                <w:spacing w:val="8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  <w:t>支持监察部门采集上述信息并打印</w:t>
            </w:r>
          </w:p>
        </w:tc>
      </w:tr>
      <w:tr w14:paraId="043F5E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 w14:paraId="2909D6FE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7</w:t>
            </w:r>
          </w:p>
        </w:tc>
        <w:tc>
          <w:tcPr>
            <w:tcW w:w="1701" w:type="dxa"/>
            <w:vAlign w:val="center"/>
          </w:tcPr>
          <w:p w14:paraId="399FD34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轮岗交流</w:t>
            </w:r>
          </w:p>
        </w:tc>
        <w:tc>
          <w:tcPr>
            <w:tcW w:w="5862" w:type="dxa"/>
            <w:vAlign w:val="center"/>
          </w:tcPr>
          <w:p w14:paraId="4D71E553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支持科室录入或导入本科室轮岗人员情况</w:t>
            </w:r>
          </w:p>
          <w:p w14:paraId="1907D1D0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支持纪检监察部门采集轮岗人员数据并打印</w:t>
            </w:r>
          </w:p>
        </w:tc>
      </w:tr>
      <w:tr w14:paraId="52AB7B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 w14:paraId="6829C8FC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8</w:t>
            </w:r>
          </w:p>
        </w:tc>
        <w:tc>
          <w:tcPr>
            <w:tcW w:w="1701" w:type="dxa"/>
            <w:vAlign w:val="center"/>
          </w:tcPr>
          <w:p w14:paraId="6E48B43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拒收红包“回扣”上报</w:t>
            </w:r>
          </w:p>
        </w:tc>
        <w:tc>
          <w:tcPr>
            <w:tcW w:w="5862" w:type="dxa"/>
            <w:vAlign w:val="center"/>
          </w:tcPr>
          <w:p w14:paraId="70F5B306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支持科室录入或导入各科室员工拒收红包“回扣”、收到表扬感谢信锦旗等情况</w:t>
            </w:r>
          </w:p>
          <w:p w14:paraId="6563618F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支持纪检监察部门采集各科室员工拒收红包“回扣”情况数据并打印</w:t>
            </w:r>
          </w:p>
        </w:tc>
      </w:tr>
      <w:tr w14:paraId="2C0260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 w14:paraId="552AE5BA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9</w:t>
            </w:r>
          </w:p>
        </w:tc>
        <w:tc>
          <w:tcPr>
            <w:tcW w:w="1701" w:type="dxa"/>
            <w:vAlign w:val="center"/>
          </w:tcPr>
          <w:p w14:paraId="73CF01E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信访投诉</w:t>
            </w:r>
          </w:p>
        </w:tc>
        <w:tc>
          <w:tcPr>
            <w:tcW w:w="5862" w:type="dxa"/>
            <w:vAlign w:val="center"/>
          </w:tcPr>
          <w:p w14:paraId="1075BFDC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支持科室录入或导入医院内信访投诉处理情况</w:t>
            </w:r>
          </w:p>
          <w:p w14:paraId="06398743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支持纪检监察部门采集医院内信访投诉处理情况数据并打印</w:t>
            </w:r>
          </w:p>
        </w:tc>
      </w:tr>
      <w:tr w14:paraId="4CD204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 w14:paraId="0436C21C">
            <w:pPr>
              <w:adjustRightInd w:val="0"/>
              <w:spacing w:line="360" w:lineRule="auto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10</w:t>
            </w:r>
          </w:p>
        </w:tc>
        <w:tc>
          <w:tcPr>
            <w:tcW w:w="1701" w:type="dxa"/>
            <w:vAlign w:val="center"/>
          </w:tcPr>
          <w:p w14:paraId="6A1F4BA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药品监督</w:t>
            </w:r>
          </w:p>
        </w:tc>
        <w:tc>
          <w:tcPr>
            <w:tcW w:w="5862" w:type="dxa"/>
            <w:vAlign w:val="center"/>
          </w:tcPr>
          <w:p w14:paraId="6E907606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支持科室录入或导入每月处方点评结果、药品使用金额排名前30的品种、各科室药品使用金额排名前30%的医务人员、查处过度用药等情况</w:t>
            </w:r>
          </w:p>
          <w:p w14:paraId="5B39D957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支持纪检监察部门采集上述信息并打印</w:t>
            </w:r>
          </w:p>
        </w:tc>
      </w:tr>
      <w:tr w14:paraId="190355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 w14:paraId="6B64EBC8">
            <w:pPr>
              <w:adjustRightInd w:val="0"/>
              <w:spacing w:line="360" w:lineRule="auto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11</w:t>
            </w:r>
          </w:p>
        </w:tc>
        <w:tc>
          <w:tcPr>
            <w:tcW w:w="1701" w:type="dxa"/>
            <w:vAlign w:val="center"/>
          </w:tcPr>
          <w:p w14:paraId="53CA2BC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设备耗材监督</w:t>
            </w:r>
          </w:p>
        </w:tc>
        <w:tc>
          <w:tcPr>
            <w:tcW w:w="5862" w:type="dxa"/>
            <w:vAlign w:val="center"/>
          </w:tcPr>
          <w:p w14:paraId="5466FE45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支持科室录入或导入每年设备耗材采购情况、设备效益分析汇总</w:t>
            </w:r>
          </w:p>
          <w:p w14:paraId="2F6E8C66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支持纪检监察部门采集上述信息并打印</w:t>
            </w:r>
          </w:p>
        </w:tc>
      </w:tr>
      <w:tr w14:paraId="591FAE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 w14:paraId="498C9FC4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2</w:t>
            </w:r>
          </w:p>
        </w:tc>
        <w:tc>
          <w:tcPr>
            <w:tcW w:w="1701" w:type="dxa"/>
            <w:vAlign w:val="center"/>
          </w:tcPr>
          <w:p w14:paraId="200467C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“小金库”自查自纠</w:t>
            </w:r>
          </w:p>
        </w:tc>
        <w:tc>
          <w:tcPr>
            <w:tcW w:w="5862" w:type="dxa"/>
            <w:vAlign w:val="center"/>
          </w:tcPr>
          <w:p w14:paraId="2C88F693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支持科室录入或导入科室“小金库”自查自纠情况；</w:t>
            </w:r>
          </w:p>
          <w:p w14:paraId="57F24693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支持纪检监察部门采集上述信息并打印。</w:t>
            </w:r>
          </w:p>
        </w:tc>
      </w:tr>
      <w:tr w14:paraId="43E856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 w14:paraId="4040D0F1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3</w:t>
            </w:r>
          </w:p>
        </w:tc>
        <w:tc>
          <w:tcPr>
            <w:tcW w:w="1701" w:type="dxa"/>
            <w:vAlign w:val="center"/>
          </w:tcPr>
          <w:p w14:paraId="121C112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廉政风险点排查</w:t>
            </w:r>
          </w:p>
        </w:tc>
        <w:tc>
          <w:tcPr>
            <w:tcW w:w="5862" w:type="dxa"/>
            <w:vAlign w:val="center"/>
          </w:tcPr>
          <w:p w14:paraId="35171604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支持科室录入或导入科室廉政风险点排查情况；</w:t>
            </w:r>
          </w:p>
          <w:p w14:paraId="56A75C74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支持纪检监察部门采集上述信息并打印。</w:t>
            </w:r>
          </w:p>
        </w:tc>
      </w:tr>
      <w:tr w14:paraId="5A735B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959" w:type="dxa"/>
            <w:vAlign w:val="center"/>
          </w:tcPr>
          <w:p w14:paraId="6C37E220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4</w:t>
            </w:r>
          </w:p>
        </w:tc>
        <w:tc>
          <w:tcPr>
            <w:tcW w:w="1701" w:type="dxa"/>
            <w:vAlign w:val="center"/>
          </w:tcPr>
          <w:p w14:paraId="3E14892A">
            <w:pPr>
              <w:adjustRightIn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移动应用</w:t>
            </w:r>
          </w:p>
        </w:tc>
        <w:tc>
          <w:tcPr>
            <w:tcW w:w="5862" w:type="dxa"/>
            <w:vAlign w:val="center"/>
          </w:tcPr>
          <w:p w14:paraId="3C0651B0">
            <w:pPr>
              <w:rPr>
                <w:rFonts w:ascii="宋体" w:hAnsi="宋体" w:cs="宋体"/>
                <w:spacing w:val="8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  <w:t>支持廉政风险防控平台企业微信移动端使用，涵盖“廉洁教育”、“廉洁测评”、“个人学分”、“承诺书”、</w:t>
            </w:r>
            <w:r>
              <w:rPr>
                <w:rFonts w:hint="eastAsia" w:ascii="宋体" w:hAnsi="宋体" w:cs="宋体"/>
                <w:szCs w:val="21"/>
              </w:rPr>
              <w:t>轮岗交流、拒收红包“回扣”上报、信访投诉、药品监督、设备耗材监督、“小金库”自查自纠和廉政风险点排查</w:t>
            </w: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  <w:t>功能模块</w:t>
            </w:r>
          </w:p>
        </w:tc>
      </w:tr>
      <w:tr w14:paraId="3A40B0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959" w:type="dxa"/>
            <w:vAlign w:val="center"/>
          </w:tcPr>
          <w:p w14:paraId="38A83F77">
            <w:pPr>
              <w:adjustRightInd w:val="0"/>
              <w:spacing w:line="360" w:lineRule="auto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7F7946">
            <w:pPr>
              <w:rPr>
                <w:rFonts w:hint="eastAsia" w:ascii="宋体" w:hAnsi="宋体" w:cs="宋体"/>
                <w:spacing w:val="8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  <w:lang w:val="en-US" w:eastAsia="zh-CN"/>
              </w:rPr>
              <w:t>系统架构</w:t>
            </w:r>
          </w:p>
        </w:tc>
        <w:tc>
          <w:tcPr>
            <w:tcW w:w="5862" w:type="dxa"/>
            <w:shd w:val="clear" w:color="auto" w:fill="auto"/>
            <w:vAlign w:val="center"/>
          </w:tcPr>
          <w:p w14:paraId="69C3A575">
            <w:pPr>
              <w:rPr>
                <w:rFonts w:hint="eastAsia" w:ascii="宋体" w:hAnsi="宋体" w:cs="宋体"/>
                <w:spacing w:val="8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  <w:lang w:val="en-US" w:eastAsia="zh-CN"/>
              </w:rPr>
              <w:t>人员架构、组织架构、系统角色、功能权限、安全管理等</w:t>
            </w:r>
          </w:p>
        </w:tc>
      </w:tr>
      <w:tr w14:paraId="121363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959" w:type="dxa"/>
            <w:vAlign w:val="center"/>
          </w:tcPr>
          <w:p w14:paraId="6ABF9F79">
            <w:pPr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6</w:t>
            </w:r>
          </w:p>
        </w:tc>
        <w:tc>
          <w:tcPr>
            <w:tcW w:w="1701" w:type="dxa"/>
            <w:vAlign w:val="center"/>
          </w:tcPr>
          <w:p w14:paraId="5232587C">
            <w:pPr>
              <w:adjustRightIn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系统管理</w:t>
            </w:r>
          </w:p>
        </w:tc>
        <w:tc>
          <w:tcPr>
            <w:tcW w:w="5862" w:type="dxa"/>
            <w:vAlign w:val="center"/>
          </w:tcPr>
          <w:p w14:paraId="73A67F39">
            <w:pPr>
              <w:rPr>
                <w:rFonts w:ascii="宋体" w:hAnsi="宋体" w:cs="宋体"/>
                <w:spacing w:val="8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  <w:t>支持科室机构多层级目录化管理</w:t>
            </w:r>
          </w:p>
          <w:p w14:paraId="6DD0EF33">
            <w:pPr>
              <w:rPr>
                <w:rFonts w:ascii="宋体" w:hAnsi="宋体" w:cs="宋体"/>
                <w:spacing w:val="8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  <w:t>支持科室机构负责人灵活配置化管理</w:t>
            </w:r>
          </w:p>
          <w:p w14:paraId="3FED9558">
            <w:pPr>
              <w:rPr>
                <w:rFonts w:ascii="宋体" w:hAnsi="宋体" w:cs="宋体"/>
                <w:spacing w:val="8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  <w:t>支持用户权限可配置化管理</w:t>
            </w:r>
          </w:p>
          <w:p w14:paraId="63F31EF3">
            <w:pPr>
              <w:rPr>
                <w:rFonts w:ascii="宋体" w:hAnsi="宋体" w:cs="宋体"/>
                <w:spacing w:val="8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  <w:t>支持系统用户线上维护及移动端账号维护管理</w:t>
            </w:r>
          </w:p>
          <w:p w14:paraId="408169FE">
            <w:pPr>
              <w:rPr>
                <w:rFonts w:ascii="宋体" w:hAnsi="宋体" w:cs="宋体"/>
                <w:spacing w:val="8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  <w:t>支持科室机构数据批量导入功能</w:t>
            </w:r>
          </w:p>
          <w:p w14:paraId="3FDCC702">
            <w:pPr>
              <w:rPr>
                <w:rFonts w:ascii="宋体" w:hAnsi="宋体" w:cs="宋体"/>
                <w:spacing w:val="8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  <w:t>支持系统用户数据批量导入功能</w:t>
            </w:r>
          </w:p>
          <w:p w14:paraId="783C2D4E">
            <w:pPr>
              <w:rPr>
                <w:rFonts w:ascii="宋体" w:hAnsi="宋体" w:cs="宋体"/>
                <w:spacing w:val="8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  <w:t>支持用户密码批量重置功能，可灵活设定重置后的密码</w:t>
            </w:r>
          </w:p>
          <w:p w14:paraId="01476443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▲</w:t>
            </w:r>
            <w:r>
              <w:rPr>
                <w:rFonts w:hint="eastAsia" w:ascii="宋体" w:hAnsi="宋体"/>
                <w:szCs w:val="21"/>
              </w:rPr>
              <w:t>数据支持对接医院智慧党建平台进行管理。</w:t>
            </w:r>
          </w:p>
          <w:p w14:paraId="6D6B462B">
            <w:pPr>
              <w:rPr>
                <w:rFonts w:ascii="宋体" w:hAnsi="宋体" w:cs="宋体"/>
                <w:spacing w:val="8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  <w:t>支持系统访问日志追索查询功能</w:t>
            </w:r>
          </w:p>
          <w:p w14:paraId="3273E03A">
            <w:pPr>
              <w:rPr>
                <w:rFonts w:ascii="宋体" w:hAnsi="宋体" w:cs="宋体"/>
                <w:spacing w:val="8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spacing w:val="8"/>
                <w:szCs w:val="21"/>
                <w:shd w:val="clear" w:color="auto" w:fill="FFFFFF"/>
              </w:rPr>
              <w:t>支持系统与医院高效运营管理系统全景人力模板中人事信息对接，对新入职、离职、调岗等信息能及时更新</w:t>
            </w:r>
          </w:p>
        </w:tc>
      </w:tr>
    </w:tbl>
    <w:p w14:paraId="2F996AF5">
      <w:pPr>
        <w:tabs>
          <w:tab w:val="left" w:pos="312"/>
        </w:tabs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五、商务要求</w:t>
      </w:r>
    </w:p>
    <w:p w14:paraId="3E4F0656">
      <w:pPr>
        <w:spacing w:line="360" w:lineRule="auto"/>
        <w:ind w:left="420" w:left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1、完成期： </w:t>
      </w:r>
      <w:r>
        <w:rPr>
          <w:rFonts w:hint="eastAsia" w:ascii="宋体" w:hAnsi="宋体"/>
          <w:color w:val="000000"/>
          <w:szCs w:val="21"/>
        </w:rPr>
        <w:t>自合同签订之日起</w:t>
      </w:r>
      <w:r>
        <w:rPr>
          <w:rFonts w:hint="eastAsia" w:ascii="宋体" w:hAnsi="宋体"/>
          <w:color w:val="000000"/>
          <w:szCs w:val="21"/>
          <w:u w:val="single"/>
          <w:lang w:val="en-US" w:eastAsia="zh-CN"/>
        </w:rPr>
        <w:t>90</w:t>
      </w:r>
      <w:r>
        <w:rPr>
          <w:rFonts w:hint="eastAsia" w:ascii="宋体" w:hAnsi="宋体"/>
          <w:color w:val="000000"/>
          <w:szCs w:val="21"/>
        </w:rPr>
        <w:t>日历天内，</w:t>
      </w:r>
      <w:r>
        <w:rPr>
          <w:rFonts w:hint="eastAsia" w:ascii="宋体" w:hAnsi="宋体" w:cs="宋体"/>
          <w:szCs w:val="21"/>
          <w:lang w:val="en-US" w:eastAsia="zh-CN"/>
        </w:rPr>
        <w:t>5</w:t>
      </w:r>
      <w:r>
        <w:rPr>
          <w:rFonts w:hint="eastAsia" w:ascii="宋体" w:hAnsi="宋体" w:cs="宋体"/>
          <w:szCs w:val="21"/>
        </w:rPr>
        <w:t>天内完成需求调研；</w:t>
      </w:r>
      <w:r>
        <w:rPr>
          <w:rFonts w:hint="eastAsia" w:ascii="宋体" w:hAnsi="宋体" w:cs="宋体"/>
          <w:szCs w:val="21"/>
          <w:lang w:val="en-US" w:eastAsia="zh-CN"/>
        </w:rPr>
        <w:t>3</w:t>
      </w:r>
      <w:r>
        <w:rPr>
          <w:rFonts w:hint="eastAsia" w:ascii="宋体" w:hAnsi="宋体" w:cs="宋体"/>
          <w:szCs w:val="21"/>
        </w:rPr>
        <w:t>0天内完成系统上线。</w:t>
      </w:r>
    </w:p>
    <w:p w14:paraId="6D447C25">
      <w:pPr>
        <w:spacing w:line="360" w:lineRule="auto"/>
        <w:ind w:left="420" w:leftChars="200"/>
        <w:rPr>
          <w:rFonts w:hint="default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</w:rPr>
        <w:t>2、维保期：</w:t>
      </w:r>
      <w:r>
        <w:rPr>
          <w:rFonts w:hint="eastAsia" w:ascii="宋体" w:hAnsi="宋体" w:cs="宋体"/>
          <w:szCs w:val="21"/>
          <w:lang w:val="en-US" w:eastAsia="zh-CN"/>
        </w:rPr>
        <w:t>中标商对合同内</w:t>
      </w:r>
      <w:r>
        <w:rPr>
          <w:rFonts w:hint="eastAsia" w:ascii="宋体" w:hAnsi="宋体" w:cs="宋体"/>
          <w:b/>
          <w:spacing w:val="8"/>
          <w:szCs w:val="21"/>
          <w:shd w:val="clear" w:color="auto" w:fill="FFFFFF"/>
        </w:rPr>
        <w:t>功</w:t>
      </w:r>
      <w:r>
        <w:rPr>
          <w:rFonts w:hint="eastAsia" w:ascii="宋体" w:hAnsi="宋体" w:cs="宋体"/>
          <w:szCs w:val="21"/>
          <w:lang w:val="en-US" w:eastAsia="zh-CN"/>
        </w:rPr>
        <w:t>能模块产生的任何问题需提供义务支持，不收取任何费用。</w:t>
      </w:r>
    </w:p>
    <w:p w14:paraId="4C0993D5">
      <w:pPr>
        <w:spacing w:line="360" w:lineRule="auto"/>
        <w:ind w:left="420" w:left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3、售后服务：维保期内，提供7×24小时电话支持、远程技术支持服务，15分钟内技术响应，一般问题1小时内解决；正常远程或电话指导不能解决的问题，2小时内现场服务解决。</w:t>
      </w:r>
    </w:p>
    <w:p w14:paraId="00557880">
      <w:pPr>
        <w:spacing w:line="360" w:lineRule="auto"/>
        <w:ind w:left="420" w:leftChars="200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szCs w:val="21"/>
        </w:rPr>
        <w:t>4、项目付款方式：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本项目按以下付款方式执行：签订合同后预付30%，系统安装完成付50%，测试验收完成20%，</w:t>
      </w:r>
    </w:p>
    <w:p w14:paraId="2DFB666B">
      <w:pPr>
        <w:rPr>
          <w:b/>
          <w:bCs/>
        </w:rPr>
      </w:pPr>
      <w:r>
        <w:rPr>
          <w:rFonts w:hint="eastAsia" w:ascii="宋体" w:hAnsi="宋体"/>
          <w:b/>
          <w:bCs/>
          <w:szCs w:val="21"/>
        </w:rPr>
        <w:t>五、</w:t>
      </w:r>
      <w:r>
        <w:rPr>
          <w:rFonts w:hint="eastAsia"/>
          <w:b/>
          <w:bCs/>
        </w:rPr>
        <w:t>评分标准</w:t>
      </w:r>
    </w:p>
    <w:p w14:paraId="4C364B68">
      <w:pPr>
        <w:pStyle w:val="14"/>
        <w:snapToGrid w:val="0"/>
        <w:spacing w:before="156" w:after="156" w:line="360" w:lineRule="auto"/>
        <w:ind w:firstLineChars="0"/>
        <w:rPr>
          <w:rStyle w:val="15"/>
          <w:rFonts w:hint="eastAsia" w:ascii="宋体" w:hAnsi="宋体" w:cs="宋体"/>
          <w:szCs w:val="21"/>
        </w:rPr>
      </w:pPr>
      <w:r>
        <w:rPr>
          <w:rStyle w:val="15"/>
          <w:rFonts w:hint="eastAsia" w:ascii="宋体" w:hAnsi="宋体" w:cs="宋体"/>
          <w:szCs w:val="21"/>
        </w:rPr>
        <w:t>本磋商文件中凡标有“★”的地方均被视为重要的指标要求。供应商要特别加以注意，必须对此具体、明确响应并完全满足这些要求。否则若有一项带“★”的指标未响应或不满足，将视为非实质性响应文件要求。标注有“▲”号参数为重要条款，如不满足要求将影响评分。</w:t>
      </w:r>
    </w:p>
    <w:p w14:paraId="30B0B385">
      <w:pPr>
        <w:rPr>
          <w:rFonts w:hint="eastAsia" w:ascii="宋体" w:hAnsi="宋体" w:cs="宋体"/>
          <w:szCs w:val="21"/>
        </w:rPr>
      </w:pPr>
    </w:p>
    <w:tbl>
      <w:tblPr>
        <w:tblStyle w:val="8"/>
        <w:tblW w:w="98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331"/>
        <w:gridCol w:w="7001"/>
        <w:gridCol w:w="835"/>
      </w:tblGrid>
      <w:tr w14:paraId="6B976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09" w:type="dxa"/>
            <w:vAlign w:val="center"/>
          </w:tcPr>
          <w:p w14:paraId="74762698"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序号</w:t>
            </w:r>
          </w:p>
        </w:tc>
        <w:tc>
          <w:tcPr>
            <w:tcW w:w="1331" w:type="dxa"/>
            <w:vAlign w:val="center"/>
          </w:tcPr>
          <w:p w14:paraId="3D5B6EB7"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评分因素</w:t>
            </w:r>
          </w:p>
        </w:tc>
        <w:tc>
          <w:tcPr>
            <w:tcW w:w="7001" w:type="dxa"/>
            <w:vAlign w:val="center"/>
          </w:tcPr>
          <w:p w14:paraId="6214E2F0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评审标准</w:t>
            </w:r>
          </w:p>
        </w:tc>
        <w:tc>
          <w:tcPr>
            <w:tcW w:w="835" w:type="dxa"/>
            <w:vAlign w:val="center"/>
          </w:tcPr>
          <w:p w14:paraId="7A6492BD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分值</w:t>
            </w:r>
          </w:p>
        </w:tc>
      </w:tr>
      <w:tr w14:paraId="355BE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709" w:type="dxa"/>
            <w:vAlign w:val="center"/>
          </w:tcPr>
          <w:p w14:paraId="71A5168A"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1</w:t>
            </w:r>
          </w:p>
        </w:tc>
        <w:tc>
          <w:tcPr>
            <w:tcW w:w="1331" w:type="dxa"/>
            <w:vAlign w:val="center"/>
          </w:tcPr>
          <w:p w14:paraId="42F2DF58"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价格</w:t>
            </w:r>
          </w:p>
          <w:p w14:paraId="5B4550F1"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(30分）</w:t>
            </w:r>
          </w:p>
        </w:tc>
        <w:tc>
          <w:tcPr>
            <w:tcW w:w="7001" w:type="dxa"/>
            <w:vAlign w:val="center"/>
          </w:tcPr>
          <w:p w14:paraId="09F1952A">
            <w:pPr>
              <w:spacing w:line="360" w:lineRule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价格分采用低价优先法计算，即满足采购文件要求且价格最低的报价为评审基准价，其价格分为满分。其他供应商的价格分统一按照下列公式计算（小数点保留两位）：</w:t>
            </w:r>
          </w:p>
          <w:p w14:paraId="0B201F6C">
            <w:pPr>
              <w:spacing w:line="360" w:lineRule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报价得分=(评审基准价／报价)×30</w:t>
            </w:r>
          </w:p>
        </w:tc>
        <w:tc>
          <w:tcPr>
            <w:tcW w:w="835" w:type="dxa"/>
            <w:vAlign w:val="center"/>
          </w:tcPr>
          <w:p w14:paraId="220F0FF9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30</w:t>
            </w:r>
          </w:p>
        </w:tc>
      </w:tr>
      <w:tr w14:paraId="2EEB1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4" w:hRule="atLeast"/>
          <w:jc w:val="center"/>
        </w:trPr>
        <w:tc>
          <w:tcPr>
            <w:tcW w:w="709" w:type="dxa"/>
            <w:vAlign w:val="center"/>
          </w:tcPr>
          <w:p w14:paraId="3236AA90"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2</w:t>
            </w:r>
          </w:p>
        </w:tc>
        <w:tc>
          <w:tcPr>
            <w:tcW w:w="1331" w:type="dxa"/>
            <w:vAlign w:val="center"/>
          </w:tcPr>
          <w:p w14:paraId="6E1CD0EC"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技术</w:t>
            </w:r>
          </w:p>
          <w:p w14:paraId="4260C492"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（50分）</w:t>
            </w:r>
          </w:p>
        </w:tc>
        <w:tc>
          <w:tcPr>
            <w:tcW w:w="7001" w:type="dxa"/>
            <w:vAlign w:val="center"/>
          </w:tcPr>
          <w:p w14:paraId="697F2EF3">
            <w:pPr>
              <w:spacing w:line="360" w:lineRule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技术参数全部满足招标要求的得满分50分，打★号指标为必须满足项，如有负偏离将作为无效响应；</w:t>
            </w:r>
          </w:p>
          <w:p w14:paraId="4C40F8D7">
            <w:pPr>
              <w:spacing w:line="360" w:lineRule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有一项▲号指标负偏离扣5分；</w:t>
            </w:r>
          </w:p>
          <w:p w14:paraId="197DD95E">
            <w:pPr>
              <w:spacing w:line="360" w:lineRule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非▲号指标每负偏离一项扣2分，扣完为止</w:t>
            </w:r>
          </w:p>
        </w:tc>
        <w:tc>
          <w:tcPr>
            <w:tcW w:w="835" w:type="dxa"/>
            <w:vAlign w:val="center"/>
          </w:tcPr>
          <w:p w14:paraId="1BCCBA4C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50</w:t>
            </w:r>
          </w:p>
        </w:tc>
      </w:tr>
      <w:tr w14:paraId="65695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09" w:type="dxa"/>
            <w:vAlign w:val="center"/>
          </w:tcPr>
          <w:p w14:paraId="2C064C03"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3.1</w:t>
            </w:r>
          </w:p>
        </w:tc>
        <w:tc>
          <w:tcPr>
            <w:tcW w:w="1331" w:type="dxa"/>
            <w:vMerge w:val="restart"/>
            <w:vAlign w:val="center"/>
          </w:tcPr>
          <w:p w14:paraId="25DC9CC1"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服务</w:t>
            </w:r>
          </w:p>
          <w:p w14:paraId="70EB41B3"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（5分）</w:t>
            </w:r>
          </w:p>
        </w:tc>
        <w:tc>
          <w:tcPr>
            <w:tcW w:w="7001" w:type="dxa"/>
            <w:vAlign w:val="center"/>
          </w:tcPr>
          <w:p w14:paraId="569E7719">
            <w:pPr>
              <w:keepNext/>
              <w:keepLines/>
              <w:spacing w:line="360" w:lineRule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响应文件的技术支持、服务、运行维护方案合理可行，得3分；</w:t>
            </w:r>
          </w:p>
          <w:p w14:paraId="6EF1B7D9">
            <w:pPr>
              <w:keepNext/>
              <w:keepLines/>
              <w:spacing w:line="360" w:lineRule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响应文件的技术支持、服务、运行维护方案较合理可行，得2分；</w:t>
            </w:r>
          </w:p>
          <w:p w14:paraId="3795AB3E">
            <w:pPr>
              <w:keepNext/>
              <w:keepLines/>
              <w:spacing w:line="360" w:lineRule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响应文件的技术支持、服务、运行维护方案一般，得1分。</w:t>
            </w:r>
          </w:p>
        </w:tc>
        <w:tc>
          <w:tcPr>
            <w:tcW w:w="835" w:type="dxa"/>
            <w:vAlign w:val="center"/>
          </w:tcPr>
          <w:p w14:paraId="36122A1A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3</w:t>
            </w:r>
          </w:p>
        </w:tc>
      </w:tr>
      <w:tr w14:paraId="3D745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1" w:hRule="atLeast"/>
          <w:jc w:val="center"/>
        </w:trPr>
        <w:tc>
          <w:tcPr>
            <w:tcW w:w="709" w:type="dxa"/>
            <w:vAlign w:val="center"/>
          </w:tcPr>
          <w:p w14:paraId="55BFF069"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3.2</w:t>
            </w:r>
          </w:p>
          <w:p w14:paraId="1E747494"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</w:rPr>
            </w:pPr>
          </w:p>
        </w:tc>
        <w:tc>
          <w:tcPr>
            <w:tcW w:w="1331" w:type="dxa"/>
            <w:vMerge w:val="continue"/>
            <w:vAlign w:val="center"/>
          </w:tcPr>
          <w:p w14:paraId="64D23646"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</w:rPr>
            </w:pPr>
          </w:p>
        </w:tc>
        <w:tc>
          <w:tcPr>
            <w:tcW w:w="7001" w:type="dxa"/>
            <w:vAlign w:val="center"/>
          </w:tcPr>
          <w:p w14:paraId="0FC67EC5">
            <w:pPr>
              <w:keepNext/>
              <w:keepLines/>
              <w:spacing w:line="360" w:lineRule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对项目实施方案进行评价，对医院现有系统对接的目标及软件设计跟踪进行评价：</w:t>
            </w:r>
          </w:p>
          <w:p w14:paraId="231AF88C">
            <w:pPr>
              <w:keepNext/>
              <w:keepLines/>
              <w:spacing w:line="360" w:lineRule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方案具有可行性、可延续性、易操作性的，得2分；</w:t>
            </w:r>
          </w:p>
          <w:p w14:paraId="43BDC7B2">
            <w:pPr>
              <w:keepNext/>
              <w:keepLines/>
              <w:spacing w:line="360" w:lineRule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方案基本可行，能基本满足对接需求，得1分；</w:t>
            </w:r>
          </w:p>
          <w:p w14:paraId="114B6C8F">
            <w:pPr>
              <w:keepNext/>
              <w:keepLines/>
              <w:spacing w:line="360" w:lineRule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方案不可行，无法满足需求的，得0分。</w:t>
            </w:r>
          </w:p>
        </w:tc>
        <w:tc>
          <w:tcPr>
            <w:tcW w:w="835" w:type="dxa"/>
            <w:vAlign w:val="center"/>
          </w:tcPr>
          <w:p w14:paraId="7EEE4E91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2</w:t>
            </w:r>
          </w:p>
        </w:tc>
      </w:tr>
      <w:tr w14:paraId="668AB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09" w:type="dxa"/>
            <w:vAlign w:val="center"/>
          </w:tcPr>
          <w:p w14:paraId="54E63AA9"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4</w:t>
            </w:r>
          </w:p>
        </w:tc>
        <w:tc>
          <w:tcPr>
            <w:tcW w:w="1331" w:type="dxa"/>
            <w:vAlign w:val="center"/>
          </w:tcPr>
          <w:p w14:paraId="4E895059"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业绩</w:t>
            </w:r>
          </w:p>
          <w:p w14:paraId="1BCDB049"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（6分）</w:t>
            </w:r>
          </w:p>
        </w:tc>
        <w:tc>
          <w:tcPr>
            <w:tcW w:w="7001" w:type="dxa"/>
            <w:vAlign w:val="center"/>
          </w:tcPr>
          <w:p w14:paraId="0E9EAF60">
            <w:pPr>
              <w:spacing w:line="360" w:lineRule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提供所投党风廉政和反腐败产品的销售合同复印件，每提供一份得1分，最多得6分</w:t>
            </w:r>
          </w:p>
        </w:tc>
        <w:tc>
          <w:tcPr>
            <w:tcW w:w="835" w:type="dxa"/>
            <w:vAlign w:val="center"/>
          </w:tcPr>
          <w:p w14:paraId="5068E149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6</w:t>
            </w:r>
          </w:p>
        </w:tc>
      </w:tr>
      <w:tr w14:paraId="63888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09" w:type="dxa"/>
            <w:vAlign w:val="center"/>
          </w:tcPr>
          <w:p w14:paraId="36101957"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5.1</w:t>
            </w:r>
          </w:p>
        </w:tc>
        <w:tc>
          <w:tcPr>
            <w:tcW w:w="1331" w:type="dxa"/>
            <w:vMerge w:val="restart"/>
            <w:vAlign w:val="center"/>
          </w:tcPr>
          <w:p w14:paraId="29DE8B86"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资质</w:t>
            </w:r>
          </w:p>
          <w:p w14:paraId="540A435E"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(9分)</w:t>
            </w:r>
          </w:p>
        </w:tc>
        <w:tc>
          <w:tcPr>
            <w:tcW w:w="7001" w:type="dxa"/>
            <w:vAlign w:val="center"/>
          </w:tcPr>
          <w:p w14:paraId="3DB0EA6F">
            <w:pPr>
              <w:spacing w:line="360" w:lineRule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取得《ISO9001 质量管理体系认证证书》、《ISO20000信息技术服务管理体系认证证书》、《ISO27001 信息安全管理体系认证证书》资质。</w:t>
            </w:r>
          </w:p>
          <w:p w14:paraId="7569389D">
            <w:pPr>
              <w:spacing w:line="360" w:lineRule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每项得1分，最高得3分，（须提供资质证书复印件并加盖公章）</w:t>
            </w:r>
          </w:p>
        </w:tc>
        <w:tc>
          <w:tcPr>
            <w:tcW w:w="835" w:type="dxa"/>
            <w:vAlign w:val="center"/>
          </w:tcPr>
          <w:p w14:paraId="4EC4FCC0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3</w:t>
            </w:r>
          </w:p>
        </w:tc>
      </w:tr>
      <w:tr w14:paraId="43A6D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709" w:type="dxa"/>
            <w:vAlign w:val="center"/>
          </w:tcPr>
          <w:p w14:paraId="710E3B71"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5.2</w:t>
            </w:r>
          </w:p>
        </w:tc>
        <w:tc>
          <w:tcPr>
            <w:tcW w:w="1331" w:type="dxa"/>
            <w:vMerge w:val="continue"/>
            <w:vAlign w:val="center"/>
          </w:tcPr>
          <w:p w14:paraId="36D7601B"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</w:rPr>
            </w:pPr>
          </w:p>
        </w:tc>
        <w:tc>
          <w:tcPr>
            <w:tcW w:w="7001" w:type="dxa"/>
            <w:vAlign w:val="center"/>
          </w:tcPr>
          <w:p w14:paraId="2E6CCD9F">
            <w:pPr>
              <w:spacing w:line="360" w:lineRule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项目经理须严格把控项目质量，具备信息技术基础架构认证(ITIL4)、信息安全管理体系认证（ISO27001）、注册信息安全专家（CISP）、信息安全工程师认证（Security+）、项目管理师（PMP）认证、注册渗透测试工程师(CISP-PTE）每个得1分。（提供证明材料复印件）。</w:t>
            </w:r>
          </w:p>
        </w:tc>
        <w:tc>
          <w:tcPr>
            <w:tcW w:w="835" w:type="dxa"/>
            <w:vAlign w:val="center"/>
          </w:tcPr>
          <w:p w14:paraId="6810F836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6</w:t>
            </w:r>
          </w:p>
        </w:tc>
      </w:tr>
    </w:tbl>
    <w:p w14:paraId="70664DA5">
      <w:pPr>
        <w:rPr>
          <w:rFonts w:hint="eastAsia" w:ascii="宋体" w:hAnsi="宋体" w:cs="宋体"/>
          <w:szCs w:val="21"/>
        </w:rPr>
      </w:pPr>
    </w:p>
    <w:p w14:paraId="1D5B40A0"/>
    <w:p w14:paraId="7A289C77">
      <w:pPr>
        <w:spacing w:line="360" w:lineRule="auto"/>
        <w:ind w:left="420" w:leftChars="200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063C808F">
      <w:pPr>
        <w:widowControl/>
        <w:jc w:val="left"/>
        <w:rPr>
          <w:b/>
          <w:bCs/>
          <w:kern w:val="44"/>
          <w:sz w:val="32"/>
          <w:szCs w:val="32"/>
        </w:rPr>
      </w:pPr>
    </w:p>
    <w:p w14:paraId="48F7D14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2D2C1E"/>
    <w:multiLevelType w:val="multilevel"/>
    <w:tmpl w:val="1F2D2C1E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decimal"/>
      <w:suff w:val="nothing"/>
      <w:lvlText w:val="%3)"/>
      <w:lvlJc w:val="left"/>
      <w:pPr>
        <w:ind w:left="846" w:hanging="420"/>
      </w:pPr>
      <w:rPr>
        <w:rFonts w:hint="eastAsia"/>
      </w:rPr>
    </w:lvl>
    <w:lvl w:ilvl="3" w:tentative="0">
      <w:start w:val="2"/>
      <w:numFmt w:val="japaneseCounting"/>
      <w:lvlText w:val="%4、"/>
      <w:lvlJc w:val="left"/>
      <w:pPr>
        <w:ind w:left="592" w:hanging="450"/>
      </w:pPr>
      <w:rPr>
        <w:rFonts w:hint="default"/>
        <w:lang w:val="en-US"/>
      </w:rPr>
    </w:lvl>
    <w:lvl w:ilvl="4" w:tentative="0">
      <w:start w:val="1"/>
      <w:numFmt w:val="decimal"/>
      <w:lvlText w:val="%5、"/>
      <w:lvlJc w:val="left"/>
      <w:pPr>
        <w:ind w:left="2040" w:hanging="360"/>
      </w:pPr>
      <w:rPr>
        <w:rFonts w:hint="default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F420BF"/>
    <w:rsid w:val="02AB78A7"/>
    <w:rsid w:val="0EF420BF"/>
    <w:rsid w:val="23152DEF"/>
    <w:rsid w:val="25351FD1"/>
    <w:rsid w:val="263A2AE7"/>
    <w:rsid w:val="26B024E4"/>
    <w:rsid w:val="313B4C6F"/>
    <w:rsid w:val="49262DB0"/>
    <w:rsid w:val="5180327A"/>
    <w:rsid w:val="622745AD"/>
    <w:rsid w:val="62276328"/>
    <w:rsid w:val="6253536E"/>
    <w:rsid w:val="62E976BA"/>
    <w:rsid w:val="63EE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First Indent 2"/>
    <w:basedOn w:val="4"/>
    <w:qFormat/>
    <w:uiPriority w:val="0"/>
    <w:pPr>
      <w:ind w:firstLine="200" w:firstLineChars="200"/>
      <w:jc w:val="left"/>
    </w:pPr>
    <w:rPr>
      <w:rFonts w:ascii="宋体" w:hAnsi="宋体"/>
    </w:rPr>
  </w:style>
  <w:style w:type="paragraph" w:styleId="4">
    <w:name w:val="Body Text Indent"/>
    <w:basedOn w:val="1"/>
    <w:next w:val="1"/>
    <w:qFormat/>
    <w:uiPriority w:val="99"/>
    <w:pPr>
      <w:ind w:firstLine="830" w:firstLineChars="352"/>
    </w:pPr>
    <w:rPr>
      <w:rFonts w:ascii="仿宋_GB2312" w:hAnsi="Calibri" w:eastAsia="仿宋_GB2312"/>
      <w:kern w:val="0"/>
      <w:sz w:val="32"/>
    </w:rPr>
  </w:style>
  <w:style w:type="paragraph" w:styleId="5">
    <w:name w:val="annotation text"/>
    <w:basedOn w:val="1"/>
    <w:qFormat/>
    <w:uiPriority w:val="0"/>
    <w:pPr>
      <w:jc w:val="left"/>
    </w:pPr>
    <w:rPr>
      <w:kern w:val="0"/>
      <w:sz w:val="20"/>
      <w:lang w:val="zh-CN"/>
    </w:rPr>
  </w:style>
  <w:style w:type="paragraph" w:styleId="6">
    <w:name w:val="Plain Text"/>
    <w:basedOn w:val="1"/>
    <w:qFormat/>
    <w:uiPriority w:val="0"/>
    <w:rPr>
      <w:rFonts w:ascii="宋体" w:hAnsi="Courier New"/>
      <w:kern w:val="0"/>
      <w:sz w:val="20"/>
      <w:szCs w:val="21"/>
      <w:lang w:val="zh-CN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9">
    <w:name w:val="Table Grid"/>
    <w:basedOn w:val="8"/>
    <w:qFormat/>
    <w:uiPriority w:val="5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annotation reference"/>
    <w:unhideWhenUsed/>
    <w:qFormat/>
    <w:uiPriority w:val="0"/>
    <w:rPr>
      <w:sz w:val="21"/>
      <w:szCs w:val="21"/>
    </w:rPr>
  </w:style>
  <w:style w:type="paragraph" w:customStyle="1" w:styleId="12">
    <w:name w:val="图"/>
    <w:basedOn w:val="1"/>
    <w:qFormat/>
    <w:uiPriority w:val="0"/>
    <w:pPr>
      <w:keepNext/>
      <w:adjustRightInd w:val="0"/>
      <w:snapToGrid w:val="0"/>
      <w:spacing w:before="60" w:after="60" w:line="300" w:lineRule="auto"/>
      <w:jc w:val="center"/>
    </w:pPr>
    <w:rPr>
      <w:spacing w:val="20"/>
      <w:kern w:val="0"/>
      <w:sz w:val="24"/>
      <w:szCs w:val="20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  <w:lang w:val="zh-CN"/>
    </w:rPr>
  </w:style>
  <w:style w:type="paragraph" w:customStyle="1" w:styleId="14">
    <w:name w:val="179"/>
    <w:basedOn w:val="1"/>
    <w:autoRedefine/>
    <w:qFormat/>
    <w:uiPriority w:val="0"/>
    <w:pPr>
      <w:ind w:firstLine="420" w:firstLineChars="200"/>
    </w:pPr>
  </w:style>
  <w:style w:type="character" w:customStyle="1" w:styleId="15">
    <w:name w:val="NormalCharacter"/>
    <w:link w:val="16"/>
    <w:autoRedefine/>
    <w:qFormat/>
    <w:uiPriority w:val="0"/>
  </w:style>
  <w:style w:type="paragraph" w:customStyle="1" w:styleId="16">
    <w:name w:val="UserStyle_3"/>
    <w:basedOn w:val="1"/>
    <w:link w:val="15"/>
    <w:autoRedefine/>
    <w:qFormat/>
    <w:uiPriority w:val="0"/>
    <w:pPr>
      <w:spacing w:after="160" w:line="240" w:lineRule="exact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3120</Words>
  <Characters>3223</Characters>
  <Lines>0</Lines>
  <Paragraphs>0</Paragraphs>
  <TotalTime>0</TotalTime>
  <ScaleCrop>false</ScaleCrop>
  <LinksUpToDate>false</LinksUpToDate>
  <CharactersWithSpaces>3227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2021-09-28T06:04:00Z</dcterms:created>
  <dc:creator>贤植</dc:creator>
  <cp:lastModifiedBy>Amy</cp:lastModifiedBy>
  <dcterms:modified xsi:type="dcterms:W3CDTF">2025-07-22T03:50:43Z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123912E7C746416E81C324D2734247C9_13</vt:lpwstr>
  </property>
  <property fmtid="{D5CDD505-2E9C-101B-9397-08002B2CF9AE}" pid="4" name="KSOTemplateDocerSaveRecord">
    <vt:lpwstr>eyJoZGlkIjoiNGEzNDI2M2QyNDU4NzQzMTMzMTA2YjBmZDc1ZGUyOTkiLCJ1c2VySWQiOiI3Mjg3ODE4NjUifQ==</vt:lpwstr>
  </property>
</Properties>
</file>